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E1" w:rsidRPr="00D612E1" w:rsidRDefault="00CF7901" w:rsidP="00F44F98">
      <w:pPr>
        <w:ind w:right="-143"/>
        <w:rPr>
          <w:rFonts w:cs="Calibri"/>
          <w:lang w:val="en-US"/>
        </w:rPr>
      </w:pPr>
      <w:r w:rsidRPr="00D612E1">
        <w:rPr>
          <w:rFonts w:eastAsia="Times New Roman" w:cs="Calibri"/>
          <w:noProof/>
          <w:sz w:val="24"/>
          <w:szCs w:val="24"/>
          <w:lang w:val="en-GB" w:eastAsia="en-GB"/>
        </w:rPr>
        <mc:AlternateContent>
          <mc:Choice Requires="wps">
            <w:drawing>
              <wp:anchor distT="0" distB="0" distL="114300" distR="114300" simplePos="0" relativeHeight="251730944" behindDoc="0" locked="0" layoutInCell="1" allowOverlap="1" wp14:anchorId="11827169" wp14:editId="3DA1D4BE">
                <wp:simplePos x="0" y="0"/>
                <wp:positionH relativeFrom="page">
                  <wp:posOffset>134620</wp:posOffset>
                </wp:positionH>
                <wp:positionV relativeFrom="paragraph">
                  <wp:posOffset>-305131</wp:posOffset>
                </wp:positionV>
                <wp:extent cx="6987154" cy="833933"/>
                <wp:effectExtent l="0" t="0" r="0" b="4445"/>
                <wp:wrapNone/>
                <wp:docPr id="5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87154" cy="833933"/>
                        </a:xfrm>
                        <a:prstGeom prst="rect">
                          <a:avLst/>
                        </a:prstGeom>
                        <a:noFill/>
                        <a:ln w="9525" cap="flat" cmpd="sng" algn="ctr">
                          <a:noFill/>
                          <a:prstDash val="solid"/>
                        </a:ln>
                        <a:effectLst/>
                      </wps:spPr>
                      <wps:txbx>
                        <w:txbxContent>
                          <w:p w:rsidR="009B7A12" w:rsidRPr="00276ED9" w:rsidRDefault="009B7A12"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Pr>
                                <w:rFonts w:eastAsia="Times New Roman" w:cs="Calibri"/>
                                <w:b/>
                                <w:i/>
                                <w:color w:val="6691AB"/>
                                <w:sz w:val="27"/>
                                <w:szCs w:val="27"/>
                              </w:rPr>
                              <w:t>Ετοιμότητα και Ανταπόκριση για την Υποστήριξη των Πελατών της Τράπεζας</w:t>
                            </w:r>
                          </w:p>
                          <w:p w:rsidR="009B7A12" w:rsidRPr="004A7F30" w:rsidRDefault="009B7A12" w:rsidP="00793848">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Pr>
                                <w:rFonts w:eastAsia="Times New Roman" w:cs="Calibri"/>
                                <w:b/>
                                <w:i/>
                                <w:color w:val="6691AB"/>
                                <w:sz w:val="27"/>
                                <w:szCs w:val="27"/>
                              </w:rPr>
                              <w:t>Ανθεκτικά</w:t>
                            </w:r>
                            <w:r w:rsidRPr="004A7F30">
                              <w:rPr>
                                <w:rFonts w:eastAsia="Times New Roman" w:cs="Calibri"/>
                                <w:b/>
                                <w:i/>
                                <w:color w:val="6691AB"/>
                                <w:sz w:val="27"/>
                                <w:szCs w:val="27"/>
                              </w:rPr>
                              <w:t xml:space="preserve"> </w:t>
                            </w:r>
                            <w:r>
                              <w:rPr>
                                <w:rFonts w:eastAsia="Times New Roman" w:cs="Calibri"/>
                                <w:b/>
                                <w:i/>
                                <w:color w:val="6691AB"/>
                                <w:sz w:val="27"/>
                                <w:szCs w:val="27"/>
                              </w:rPr>
                              <w:t>Κέρδη</w:t>
                            </w:r>
                            <w:r w:rsidRPr="004A7F30">
                              <w:rPr>
                                <w:rFonts w:eastAsia="Times New Roman" w:cs="Calibri"/>
                                <w:b/>
                                <w:i/>
                                <w:color w:val="6691AB"/>
                                <w:sz w:val="27"/>
                                <w:szCs w:val="27"/>
                              </w:rPr>
                              <w:t xml:space="preserve"> </w:t>
                            </w:r>
                            <w:r>
                              <w:rPr>
                                <w:rFonts w:eastAsia="Times New Roman" w:cs="Calibri"/>
                                <w:b/>
                                <w:i/>
                                <w:color w:val="6691AB"/>
                                <w:sz w:val="27"/>
                                <w:szCs w:val="27"/>
                              </w:rPr>
                              <w:t>προ</w:t>
                            </w:r>
                            <w:r w:rsidRPr="004A7F30">
                              <w:rPr>
                                <w:rFonts w:eastAsia="Times New Roman" w:cs="Calibri"/>
                                <w:b/>
                                <w:i/>
                                <w:color w:val="6691AB"/>
                                <w:sz w:val="27"/>
                                <w:szCs w:val="27"/>
                              </w:rPr>
                              <w:t xml:space="preserve"> </w:t>
                            </w:r>
                            <w:r>
                              <w:rPr>
                                <w:rFonts w:eastAsia="Times New Roman" w:cs="Calibri"/>
                                <w:b/>
                                <w:i/>
                                <w:color w:val="6691AB"/>
                                <w:sz w:val="27"/>
                                <w:szCs w:val="27"/>
                              </w:rPr>
                              <w:t>Φόρων</w:t>
                            </w:r>
                            <w:r w:rsidRPr="004A7F30">
                              <w:rPr>
                                <w:rFonts w:eastAsia="Times New Roman" w:cs="Calibri"/>
                                <w:b/>
                                <w:i/>
                                <w:color w:val="6691AB"/>
                                <w:sz w:val="27"/>
                                <w:szCs w:val="27"/>
                              </w:rPr>
                              <w:t xml:space="preserve"> </w:t>
                            </w:r>
                            <w:r>
                              <w:rPr>
                                <w:rFonts w:eastAsia="Times New Roman" w:cs="Calibri"/>
                                <w:b/>
                                <w:i/>
                                <w:color w:val="6691AB"/>
                                <w:sz w:val="27"/>
                                <w:szCs w:val="27"/>
                              </w:rPr>
                              <w:t>και</w:t>
                            </w:r>
                            <w:r w:rsidRPr="004A7F30">
                              <w:rPr>
                                <w:rFonts w:eastAsia="Times New Roman" w:cs="Calibri"/>
                                <w:b/>
                                <w:i/>
                                <w:color w:val="6691AB"/>
                                <w:sz w:val="27"/>
                                <w:szCs w:val="27"/>
                              </w:rPr>
                              <w:t xml:space="preserve"> </w:t>
                            </w:r>
                            <w:r>
                              <w:rPr>
                                <w:rFonts w:eastAsia="Times New Roman" w:cs="Calibri"/>
                                <w:b/>
                                <w:i/>
                                <w:color w:val="6691AB"/>
                                <w:sz w:val="27"/>
                                <w:szCs w:val="27"/>
                              </w:rPr>
                              <w:t>Προβλέψεων</w:t>
                            </w:r>
                            <w:r w:rsidRPr="004A7F30">
                              <w:rPr>
                                <w:rFonts w:eastAsia="Times New Roman" w:cs="Calibri"/>
                                <w:b/>
                                <w:i/>
                                <w:color w:val="6691AB"/>
                                <w:sz w:val="27"/>
                                <w:szCs w:val="27"/>
                              </w:rPr>
                              <w:t xml:space="preserve">, </w:t>
                            </w:r>
                            <w:proofErr w:type="spellStart"/>
                            <w:r>
                              <w:rPr>
                                <w:rFonts w:eastAsia="Times New Roman" w:cs="Calibri"/>
                                <w:b/>
                                <w:i/>
                                <w:color w:val="6691AB"/>
                                <w:sz w:val="27"/>
                                <w:szCs w:val="27"/>
                              </w:rPr>
                              <w:t>Εμπροσθοβαρής</w:t>
                            </w:r>
                            <w:proofErr w:type="spellEnd"/>
                            <w:r>
                              <w:rPr>
                                <w:rFonts w:eastAsia="Times New Roman" w:cs="Calibri"/>
                                <w:b/>
                                <w:i/>
                                <w:color w:val="6691AB"/>
                                <w:sz w:val="27"/>
                                <w:szCs w:val="27"/>
                              </w:rPr>
                              <w:t xml:space="preserve"> Επίπτωση </w:t>
                            </w:r>
                            <w:r>
                              <w:rPr>
                                <w:rFonts w:eastAsia="Times New Roman" w:cs="Calibri"/>
                                <w:b/>
                                <w:i/>
                                <w:color w:val="6691AB"/>
                                <w:sz w:val="27"/>
                                <w:szCs w:val="27"/>
                                <w:lang w:val="en-US"/>
                              </w:rPr>
                              <w:t>COVID</w:t>
                            </w:r>
                            <w:r>
                              <w:rPr>
                                <w:rFonts w:eastAsia="Times New Roman" w:cs="Calibri"/>
                                <w:b/>
                                <w:i/>
                                <w:color w:val="6691AB"/>
                                <w:sz w:val="27"/>
                                <w:szCs w:val="27"/>
                              </w:rPr>
                              <w:t>-19</w:t>
                            </w:r>
                          </w:p>
                          <w:p w:rsidR="009B7A12" w:rsidRPr="004A7F30" w:rsidRDefault="009B7A12" w:rsidP="00F63A60">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p w:rsidR="009B7A12" w:rsidRPr="004A7F30" w:rsidRDefault="009B7A12" w:rsidP="00315F9D">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7169" id="Rectangle 30" o:spid="_x0000_s1026" style="position:absolute;margin-left:10.6pt;margin-top:-24.05pt;width:550.15pt;height:65.6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" filled="f" stroked="f">
                <v:path arrowok="t"/>
                <o:lock v:ext="edit" aspectratio="t"/>
                <v:textbox>
                  <w:txbxContent>
                    <w:p w:rsidR="009B7A12" w:rsidRPr="00276ED9" w:rsidRDefault="009B7A12"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Pr>
                          <w:rFonts w:eastAsia="Times New Roman" w:cs="Calibri"/>
                          <w:b/>
                          <w:i/>
                          <w:color w:val="6691AB"/>
                          <w:sz w:val="27"/>
                          <w:szCs w:val="27"/>
                        </w:rPr>
                        <w:t>Ετοιμότητα και Ανταπόκριση για την Υποστήριξη των Πελατών της Τράπεζας</w:t>
                      </w:r>
                    </w:p>
                    <w:p w:rsidR="009B7A12" w:rsidRPr="004A7F30" w:rsidRDefault="009B7A12" w:rsidP="00793848">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Pr>
                          <w:rFonts w:eastAsia="Times New Roman" w:cs="Calibri"/>
                          <w:b/>
                          <w:i/>
                          <w:color w:val="6691AB"/>
                          <w:sz w:val="27"/>
                          <w:szCs w:val="27"/>
                        </w:rPr>
                        <w:t>Ανθεκτικά</w:t>
                      </w:r>
                      <w:r w:rsidRPr="004A7F30">
                        <w:rPr>
                          <w:rFonts w:eastAsia="Times New Roman" w:cs="Calibri"/>
                          <w:b/>
                          <w:i/>
                          <w:color w:val="6691AB"/>
                          <w:sz w:val="27"/>
                          <w:szCs w:val="27"/>
                        </w:rPr>
                        <w:t xml:space="preserve"> </w:t>
                      </w:r>
                      <w:r>
                        <w:rPr>
                          <w:rFonts w:eastAsia="Times New Roman" w:cs="Calibri"/>
                          <w:b/>
                          <w:i/>
                          <w:color w:val="6691AB"/>
                          <w:sz w:val="27"/>
                          <w:szCs w:val="27"/>
                        </w:rPr>
                        <w:t>Κέρδη</w:t>
                      </w:r>
                      <w:r w:rsidRPr="004A7F30">
                        <w:rPr>
                          <w:rFonts w:eastAsia="Times New Roman" w:cs="Calibri"/>
                          <w:b/>
                          <w:i/>
                          <w:color w:val="6691AB"/>
                          <w:sz w:val="27"/>
                          <w:szCs w:val="27"/>
                        </w:rPr>
                        <w:t xml:space="preserve"> </w:t>
                      </w:r>
                      <w:r>
                        <w:rPr>
                          <w:rFonts w:eastAsia="Times New Roman" w:cs="Calibri"/>
                          <w:b/>
                          <w:i/>
                          <w:color w:val="6691AB"/>
                          <w:sz w:val="27"/>
                          <w:szCs w:val="27"/>
                        </w:rPr>
                        <w:t>προ</w:t>
                      </w:r>
                      <w:r w:rsidRPr="004A7F30">
                        <w:rPr>
                          <w:rFonts w:eastAsia="Times New Roman" w:cs="Calibri"/>
                          <w:b/>
                          <w:i/>
                          <w:color w:val="6691AB"/>
                          <w:sz w:val="27"/>
                          <w:szCs w:val="27"/>
                        </w:rPr>
                        <w:t xml:space="preserve"> </w:t>
                      </w:r>
                      <w:r>
                        <w:rPr>
                          <w:rFonts w:eastAsia="Times New Roman" w:cs="Calibri"/>
                          <w:b/>
                          <w:i/>
                          <w:color w:val="6691AB"/>
                          <w:sz w:val="27"/>
                          <w:szCs w:val="27"/>
                        </w:rPr>
                        <w:t>Φόρων</w:t>
                      </w:r>
                      <w:r w:rsidRPr="004A7F30">
                        <w:rPr>
                          <w:rFonts w:eastAsia="Times New Roman" w:cs="Calibri"/>
                          <w:b/>
                          <w:i/>
                          <w:color w:val="6691AB"/>
                          <w:sz w:val="27"/>
                          <w:szCs w:val="27"/>
                        </w:rPr>
                        <w:t xml:space="preserve"> </w:t>
                      </w:r>
                      <w:r>
                        <w:rPr>
                          <w:rFonts w:eastAsia="Times New Roman" w:cs="Calibri"/>
                          <w:b/>
                          <w:i/>
                          <w:color w:val="6691AB"/>
                          <w:sz w:val="27"/>
                          <w:szCs w:val="27"/>
                        </w:rPr>
                        <w:t>και</w:t>
                      </w:r>
                      <w:r w:rsidRPr="004A7F30">
                        <w:rPr>
                          <w:rFonts w:eastAsia="Times New Roman" w:cs="Calibri"/>
                          <w:b/>
                          <w:i/>
                          <w:color w:val="6691AB"/>
                          <w:sz w:val="27"/>
                          <w:szCs w:val="27"/>
                        </w:rPr>
                        <w:t xml:space="preserve"> </w:t>
                      </w:r>
                      <w:r>
                        <w:rPr>
                          <w:rFonts w:eastAsia="Times New Roman" w:cs="Calibri"/>
                          <w:b/>
                          <w:i/>
                          <w:color w:val="6691AB"/>
                          <w:sz w:val="27"/>
                          <w:szCs w:val="27"/>
                        </w:rPr>
                        <w:t>Προβλέψεων</w:t>
                      </w:r>
                      <w:r w:rsidRPr="004A7F30">
                        <w:rPr>
                          <w:rFonts w:eastAsia="Times New Roman" w:cs="Calibri"/>
                          <w:b/>
                          <w:i/>
                          <w:color w:val="6691AB"/>
                          <w:sz w:val="27"/>
                          <w:szCs w:val="27"/>
                        </w:rPr>
                        <w:t xml:space="preserve">, </w:t>
                      </w:r>
                      <w:proofErr w:type="spellStart"/>
                      <w:r>
                        <w:rPr>
                          <w:rFonts w:eastAsia="Times New Roman" w:cs="Calibri"/>
                          <w:b/>
                          <w:i/>
                          <w:color w:val="6691AB"/>
                          <w:sz w:val="27"/>
                          <w:szCs w:val="27"/>
                        </w:rPr>
                        <w:t>Εμπροσθοβαρής</w:t>
                      </w:r>
                      <w:proofErr w:type="spellEnd"/>
                      <w:r>
                        <w:rPr>
                          <w:rFonts w:eastAsia="Times New Roman" w:cs="Calibri"/>
                          <w:b/>
                          <w:i/>
                          <w:color w:val="6691AB"/>
                          <w:sz w:val="27"/>
                          <w:szCs w:val="27"/>
                        </w:rPr>
                        <w:t xml:space="preserve"> Επίπτωση </w:t>
                      </w:r>
                      <w:r>
                        <w:rPr>
                          <w:rFonts w:eastAsia="Times New Roman" w:cs="Calibri"/>
                          <w:b/>
                          <w:i/>
                          <w:color w:val="6691AB"/>
                          <w:sz w:val="27"/>
                          <w:szCs w:val="27"/>
                          <w:lang w:val="en-US"/>
                        </w:rPr>
                        <w:t>COVID</w:t>
                      </w:r>
                      <w:r>
                        <w:rPr>
                          <w:rFonts w:eastAsia="Times New Roman" w:cs="Calibri"/>
                          <w:b/>
                          <w:i/>
                          <w:color w:val="6691AB"/>
                          <w:sz w:val="27"/>
                          <w:szCs w:val="27"/>
                        </w:rPr>
                        <w:t>-19</w:t>
                      </w:r>
                    </w:p>
                    <w:p w:rsidR="009B7A12" w:rsidRPr="004A7F30" w:rsidRDefault="009B7A12" w:rsidP="00F63A60">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p w:rsidR="009B7A12" w:rsidRPr="004A7F30" w:rsidRDefault="009B7A12" w:rsidP="00315F9D">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txbxContent>
                </v:textbox>
                <w10:wrap anchorx="page"/>
              </v:rect>
            </w:pict>
          </mc:Fallback>
        </mc:AlternateContent>
      </w:r>
      <w:r w:rsidR="000E3455">
        <w:rPr>
          <w:rFonts w:eastAsia="Times New Roman" w:cs="Calibri"/>
          <w:noProof/>
          <w:sz w:val="24"/>
          <w:szCs w:val="24"/>
          <w:lang w:val="en-GB" w:eastAsia="en-GB"/>
        </w:rPr>
        <mc:AlternateContent>
          <mc:Choice Requires="wps">
            <w:drawing>
              <wp:anchor distT="0" distB="0" distL="114300" distR="114300" simplePos="0" relativeHeight="251759616" behindDoc="0" locked="0" layoutInCell="1" allowOverlap="1" wp14:anchorId="07B0FE1C" wp14:editId="2C113F6E">
                <wp:simplePos x="0" y="0"/>
                <wp:positionH relativeFrom="column">
                  <wp:posOffset>1357506</wp:posOffset>
                </wp:positionH>
                <wp:positionV relativeFrom="paragraph">
                  <wp:posOffset>-1269093</wp:posOffset>
                </wp:positionV>
                <wp:extent cx="3811980" cy="516577"/>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811980" cy="51657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87DF8A" id="Rounded Rectangle 1" o:spid="_x0000_s1026" style="position:absolute;margin-left:106.9pt;margin-top:-99.95pt;width:300.15pt;height:40.7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" filled="f" stroked="f" strokeweight="2pt"/>
            </w:pict>
          </mc:Fallback>
        </mc:AlternateContent>
      </w:r>
    </w:p>
    <w:p w:rsidR="002F30A0" w:rsidRDefault="00743392" w:rsidP="002F30A0">
      <w:pPr>
        <w:spacing w:line="300" w:lineRule="exact"/>
        <w:rPr>
          <w:rFonts w:cs="Calibri"/>
          <w:b/>
          <w:color w:val="003C96" w:themeColor="text2"/>
          <w:sz w:val="21"/>
          <w:szCs w:val="21"/>
          <w:lang w:val="en-US"/>
        </w:rPr>
      </w:pPr>
      <w:r w:rsidRPr="007C615E">
        <w:rPr>
          <w:rFonts w:eastAsia="Times New Roman" w:cs="Calibri"/>
          <w:b/>
          <w:noProof/>
          <w:color w:val="003C96" w:themeColor="text2"/>
          <w:sz w:val="28"/>
          <w:szCs w:val="28"/>
          <w:lang w:val="en-GB" w:eastAsia="en-GB"/>
        </w:rPr>
        <mc:AlternateContent>
          <mc:Choice Requires="wps">
            <w:drawing>
              <wp:anchor distT="0" distB="0" distL="114300" distR="114300" simplePos="0" relativeHeight="251777024" behindDoc="1" locked="0" layoutInCell="1" allowOverlap="1" wp14:anchorId="2CBB2ED6" wp14:editId="37EB7EB9">
                <wp:simplePos x="0" y="0"/>
                <wp:positionH relativeFrom="page">
                  <wp:posOffset>8964</wp:posOffset>
                </wp:positionH>
                <wp:positionV relativeFrom="paragraph">
                  <wp:posOffset>154529</wp:posOffset>
                </wp:positionV>
                <wp:extent cx="7151509" cy="7745506"/>
                <wp:effectExtent l="0" t="0" r="0" b="8255"/>
                <wp:wrapNone/>
                <wp:docPr id="13"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1509" cy="7745506"/>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12" w:rsidRDefault="009B7A12" w:rsidP="00CF7901">
                            <w:pPr>
                              <w:jc w:val="center"/>
                              <w:rPr>
                                <w:lang w:val="en-US"/>
                              </w:rPr>
                            </w:pPr>
                          </w:p>
                          <w:p w:rsidR="009B7A12" w:rsidRDefault="009B7A12" w:rsidP="00CF7901">
                            <w:pPr>
                              <w:jc w:val="center"/>
                              <w:rPr>
                                <w:lang w:val="en-US"/>
                              </w:rPr>
                            </w:pPr>
                          </w:p>
                          <w:p w:rsidR="009B7A12" w:rsidRPr="00FF14CA" w:rsidRDefault="009B7A12" w:rsidP="00DE581C">
                            <w:pPr>
                              <w:pStyle w:val="ListParagraph"/>
                              <w:spacing w:line="300" w:lineRule="exact"/>
                              <w:ind w:left="578"/>
                              <w:contextualSpacing w:val="0"/>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2ED6" id="Rectangle 37" o:spid="_x0000_s1027" style="position:absolute;margin-left:.7pt;margin-top:12.15pt;width:563.1pt;height:609.9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" fillcolor="#e6e6e1" stroked="f">
                <o:lock v:ext="edit" aspectratio="t"/>
                <v:textbox>
                  <w:txbxContent>
                    <w:p w:rsidR="009B7A12" w:rsidRDefault="009B7A12" w:rsidP="00CF7901">
                      <w:pPr>
                        <w:jc w:val="center"/>
                        <w:rPr>
                          <w:lang w:val="en-US"/>
                        </w:rPr>
                      </w:pPr>
                    </w:p>
                    <w:p w:rsidR="009B7A12" w:rsidRDefault="009B7A12" w:rsidP="00CF7901">
                      <w:pPr>
                        <w:jc w:val="center"/>
                        <w:rPr>
                          <w:lang w:val="en-US"/>
                        </w:rPr>
                      </w:pPr>
                    </w:p>
                    <w:p w:rsidR="009B7A12" w:rsidRPr="00FF14CA" w:rsidRDefault="009B7A12" w:rsidP="00DE581C">
                      <w:pPr>
                        <w:pStyle w:val="ListParagraph"/>
                        <w:spacing w:line="300" w:lineRule="exact"/>
                        <w:ind w:left="578"/>
                        <w:contextualSpacing w:val="0"/>
                        <w:rPr>
                          <w:lang w:val="el-GR"/>
                        </w:rPr>
                      </w:pPr>
                    </w:p>
                  </w:txbxContent>
                </v:textbox>
                <w10:wrap anchorx="page"/>
              </v:rect>
            </w:pict>
          </mc:Fallback>
        </mc:AlternateContent>
      </w:r>
    </w:p>
    <w:p w:rsidR="00742184" w:rsidRPr="00372B41" w:rsidRDefault="005D4D1A" w:rsidP="003B441D">
      <w:pPr>
        <w:spacing w:after="20" w:line="240" w:lineRule="auto"/>
        <w:rPr>
          <w:rFonts w:eastAsia="Times New Roman" w:cs="Calibri"/>
          <w:b/>
          <w:color w:val="6691AB"/>
          <w:spacing w:val="-4"/>
        </w:rPr>
      </w:pPr>
      <w:r w:rsidRPr="00372B41">
        <w:rPr>
          <w:rFonts w:eastAsia="Times New Roman" w:cs="Calibri"/>
          <w:b/>
          <w:color w:val="6691AB"/>
          <w:spacing w:val="-4"/>
        </w:rPr>
        <w:t xml:space="preserve">Άμεσες </w:t>
      </w:r>
      <w:r w:rsidR="00372B41" w:rsidRPr="00372B41">
        <w:rPr>
          <w:rFonts w:eastAsia="Times New Roman" w:cs="Calibri"/>
          <w:b/>
          <w:color w:val="6691AB"/>
          <w:spacing w:val="-4"/>
        </w:rPr>
        <w:t>&amp;</w:t>
      </w:r>
      <w:r w:rsidRPr="00372B41">
        <w:rPr>
          <w:rFonts w:eastAsia="Times New Roman" w:cs="Calibri"/>
          <w:b/>
          <w:color w:val="6691AB"/>
          <w:spacing w:val="-4"/>
        </w:rPr>
        <w:t xml:space="preserve"> Αποφασιστικές Ενέργειες </w:t>
      </w:r>
      <w:r w:rsidR="00530AC9" w:rsidRPr="00372B41">
        <w:rPr>
          <w:rFonts w:eastAsia="Times New Roman" w:cs="Calibri"/>
          <w:b/>
          <w:color w:val="6691AB"/>
          <w:spacing w:val="-4"/>
        </w:rPr>
        <w:t xml:space="preserve">για την Αντιμετώπιση </w:t>
      </w:r>
      <w:r w:rsidR="00372B41" w:rsidRPr="00372B41">
        <w:rPr>
          <w:rFonts w:eastAsia="Times New Roman" w:cs="Calibri"/>
          <w:b/>
          <w:color w:val="6691AB"/>
          <w:spacing w:val="-4"/>
        </w:rPr>
        <w:t xml:space="preserve">των Συνεπειών </w:t>
      </w:r>
      <w:r w:rsidR="00530AC9" w:rsidRPr="00372B41">
        <w:rPr>
          <w:rFonts w:eastAsia="Times New Roman" w:cs="Calibri"/>
          <w:b/>
          <w:color w:val="6691AB"/>
          <w:spacing w:val="-4"/>
        </w:rPr>
        <w:t xml:space="preserve">του </w:t>
      </w:r>
      <w:r w:rsidR="00742184" w:rsidRPr="00372B41">
        <w:rPr>
          <w:rFonts w:eastAsia="Times New Roman" w:cs="Calibri"/>
          <w:b/>
          <w:color w:val="6691AB"/>
          <w:spacing w:val="-4"/>
          <w:lang w:val="en-US"/>
        </w:rPr>
        <w:t>COVID</w:t>
      </w:r>
      <w:r w:rsidR="00742184" w:rsidRPr="00372B41">
        <w:rPr>
          <w:rFonts w:eastAsia="Times New Roman" w:cs="Calibri"/>
          <w:b/>
          <w:color w:val="6691AB"/>
          <w:spacing w:val="-4"/>
        </w:rPr>
        <w:t>-19</w:t>
      </w:r>
    </w:p>
    <w:p w:rsidR="00742184" w:rsidRPr="008B0F48" w:rsidRDefault="008B0F48" w:rsidP="003B441D">
      <w:pPr>
        <w:pStyle w:val="ListParagraph"/>
        <w:numPr>
          <w:ilvl w:val="0"/>
          <w:numId w:val="15"/>
        </w:numPr>
        <w:spacing w:after="20"/>
        <w:contextualSpacing w:val="0"/>
        <w:rPr>
          <w:rFonts w:cs="Calibri"/>
          <w:sz w:val="18"/>
          <w:szCs w:val="18"/>
          <w:lang w:val="el-GR"/>
        </w:rPr>
      </w:pPr>
      <w:r>
        <w:rPr>
          <w:rFonts w:cs="Calibri"/>
          <w:sz w:val="18"/>
          <w:szCs w:val="18"/>
          <w:lang w:val="el-GR"/>
        </w:rPr>
        <w:t>Πλήρως</w:t>
      </w:r>
      <w:r w:rsidRPr="008B0F48">
        <w:rPr>
          <w:rFonts w:cs="Calibri"/>
          <w:sz w:val="18"/>
          <w:szCs w:val="18"/>
          <w:lang w:val="el-GR"/>
        </w:rPr>
        <w:t xml:space="preserve"> </w:t>
      </w:r>
      <w:r>
        <w:rPr>
          <w:rFonts w:cs="Calibri"/>
          <w:sz w:val="18"/>
          <w:szCs w:val="18"/>
          <w:lang w:val="el-GR"/>
        </w:rPr>
        <w:t>λειτουργικό</w:t>
      </w:r>
      <w:r w:rsidRPr="008B0F48">
        <w:rPr>
          <w:rFonts w:cs="Calibri"/>
          <w:sz w:val="18"/>
          <w:szCs w:val="18"/>
          <w:lang w:val="el-GR"/>
        </w:rPr>
        <w:t xml:space="preserve"> </w:t>
      </w:r>
      <w:r>
        <w:rPr>
          <w:rFonts w:cs="Calibri"/>
          <w:sz w:val="18"/>
          <w:szCs w:val="18"/>
          <w:lang w:val="el-GR"/>
        </w:rPr>
        <w:t>δίκτυο</w:t>
      </w:r>
      <w:r w:rsidRPr="008B0F48">
        <w:rPr>
          <w:rFonts w:cs="Calibri"/>
          <w:sz w:val="18"/>
          <w:szCs w:val="18"/>
          <w:lang w:val="el-GR"/>
        </w:rPr>
        <w:t xml:space="preserve"> </w:t>
      </w:r>
      <w:r w:rsidR="00372B41">
        <w:rPr>
          <w:rFonts w:cs="Calibri"/>
          <w:sz w:val="18"/>
          <w:szCs w:val="18"/>
          <w:lang w:val="el-GR"/>
        </w:rPr>
        <w:t xml:space="preserve">καταστημάτων </w:t>
      </w:r>
      <w:r>
        <w:rPr>
          <w:rFonts w:cs="Calibri"/>
          <w:sz w:val="18"/>
          <w:szCs w:val="18"/>
          <w:lang w:val="el-GR"/>
        </w:rPr>
        <w:t>κατά</w:t>
      </w:r>
      <w:r w:rsidRPr="008B0F48">
        <w:rPr>
          <w:rFonts w:cs="Calibri"/>
          <w:sz w:val="18"/>
          <w:szCs w:val="18"/>
          <w:lang w:val="el-GR"/>
        </w:rPr>
        <w:t xml:space="preserve"> </w:t>
      </w:r>
      <w:r>
        <w:rPr>
          <w:rFonts w:cs="Calibri"/>
          <w:sz w:val="18"/>
          <w:szCs w:val="18"/>
          <w:lang w:val="el-GR"/>
        </w:rPr>
        <w:t>τη</w:t>
      </w:r>
      <w:r w:rsidRPr="008B0F48">
        <w:rPr>
          <w:rFonts w:cs="Calibri"/>
          <w:sz w:val="18"/>
          <w:szCs w:val="18"/>
          <w:lang w:val="el-GR"/>
        </w:rPr>
        <w:t xml:space="preserve"> </w:t>
      </w:r>
      <w:r>
        <w:rPr>
          <w:rFonts w:cs="Calibri"/>
          <w:sz w:val="18"/>
          <w:szCs w:val="18"/>
          <w:lang w:val="el-GR"/>
        </w:rPr>
        <w:t>διάρκεια</w:t>
      </w:r>
      <w:r w:rsidRPr="008B0F48">
        <w:rPr>
          <w:rFonts w:cs="Calibri"/>
          <w:sz w:val="18"/>
          <w:szCs w:val="18"/>
          <w:lang w:val="el-GR"/>
        </w:rPr>
        <w:t xml:space="preserve"> </w:t>
      </w:r>
      <w:r>
        <w:rPr>
          <w:rFonts w:cs="Calibri"/>
          <w:sz w:val="18"/>
          <w:szCs w:val="18"/>
          <w:lang w:val="el-GR"/>
        </w:rPr>
        <w:t xml:space="preserve">του </w:t>
      </w:r>
      <w:r w:rsidR="00E977FE">
        <w:rPr>
          <w:rFonts w:cs="Calibri"/>
          <w:sz w:val="18"/>
          <w:szCs w:val="18"/>
        </w:rPr>
        <w:t>lockdown</w:t>
      </w:r>
      <w:r w:rsidR="00372B41">
        <w:rPr>
          <w:rFonts w:cs="Calibri"/>
          <w:sz w:val="18"/>
          <w:szCs w:val="18"/>
          <w:lang w:val="el-GR"/>
        </w:rPr>
        <w:t xml:space="preserve"> (526 μονάδες)</w:t>
      </w:r>
      <w:r w:rsidR="009302EF" w:rsidRPr="008B0F48">
        <w:rPr>
          <w:rFonts w:cs="Calibri"/>
          <w:sz w:val="18"/>
          <w:szCs w:val="18"/>
          <w:lang w:val="el-GR"/>
        </w:rPr>
        <w:t xml:space="preserve">, </w:t>
      </w:r>
      <w:r>
        <w:rPr>
          <w:rFonts w:cs="Calibri"/>
          <w:sz w:val="18"/>
          <w:szCs w:val="18"/>
          <w:lang w:val="el-GR"/>
        </w:rPr>
        <w:t xml:space="preserve">λαμβάνοντας υπόψη όλες τις παραμέτρους υγείας και ασφάλειας </w:t>
      </w:r>
    </w:p>
    <w:p w:rsidR="00DD5A6B" w:rsidRPr="006F3AFE" w:rsidRDefault="006F3AFE" w:rsidP="003B441D">
      <w:pPr>
        <w:pStyle w:val="ListParagraph"/>
        <w:numPr>
          <w:ilvl w:val="0"/>
          <w:numId w:val="15"/>
        </w:numPr>
        <w:spacing w:after="20"/>
        <w:contextualSpacing w:val="0"/>
        <w:rPr>
          <w:rFonts w:cs="Calibri"/>
          <w:sz w:val="18"/>
          <w:szCs w:val="18"/>
          <w:lang w:val="el-GR"/>
        </w:rPr>
      </w:pPr>
      <w:r>
        <w:rPr>
          <w:rFonts w:cs="Calibri"/>
          <w:sz w:val="18"/>
          <w:szCs w:val="18"/>
          <w:lang w:val="el-GR"/>
        </w:rPr>
        <w:t>Λήψη</w:t>
      </w:r>
      <w:r w:rsidRPr="006F3AFE">
        <w:rPr>
          <w:rFonts w:cs="Calibri"/>
          <w:sz w:val="18"/>
          <w:szCs w:val="18"/>
          <w:lang w:val="el-GR"/>
        </w:rPr>
        <w:t xml:space="preserve"> </w:t>
      </w:r>
      <w:r>
        <w:rPr>
          <w:rFonts w:cs="Calibri"/>
          <w:sz w:val="18"/>
          <w:szCs w:val="18"/>
          <w:lang w:val="el-GR"/>
        </w:rPr>
        <w:t>όλων</w:t>
      </w:r>
      <w:r w:rsidRPr="006F3AFE">
        <w:rPr>
          <w:rFonts w:cs="Calibri"/>
          <w:sz w:val="18"/>
          <w:szCs w:val="18"/>
          <w:lang w:val="el-GR"/>
        </w:rPr>
        <w:t xml:space="preserve"> </w:t>
      </w:r>
      <w:r>
        <w:rPr>
          <w:rFonts w:cs="Calibri"/>
          <w:sz w:val="18"/>
          <w:szCs w:val="18"/>
          <w:lang w:val="el-GR"/>
        </w:rPr>
        <w:t>των</w:t>
      </w:r>
      <w:r w:rsidRPr="006F3AFE">
        <w:rPr>
          <w:rFonts w:cs="Calibri"/>
          <w:sz w:val="18"/>
          <w:szCs w:val="18"/>
          <w:lang w:val="el-GR"/>
        </w:rPr>
        <w:t xml:space="preserve"> </w:t>
      </w:r>
      <w:proofErr w:type="spellStart"/>
      <w:r>
        <w:rPr>
          <w:rFonts w:cs="Calibri"/>
          <w:sz w:val="18"/>
          <w:szCs w:val="18"/>
          <w:lang w:val="el-GR"/>
        </w:rPr>
        <w:t>συνιστώμενων</w:t>
      </w:r>
      <w:proofErr w:type="spellEnd"/>
      <w:r w:rsidRPr="006F3AFE">
        <w:rPr>
          <w:rFonts w:cs="Calibri"/>
          <w:sz w:val="18"/>
          <w:szCs w:val="18"/>
          <w:lang w:val="el-GR"/>
        </w:rPr>
        <w:t xml:space="preserve"> </w:t>
      </w:r>
      <w:r>
        <w:rPr>
          <w:rFonts w:cs="Calibri"/>
          <w:sz w:val="18"/>
          <w:szCs w:val="18"/>
          <w:lang w:val="el-GR"/>
        </w:rPr>
        <w:t>μέτρων</w:t>
      </w:r>
      <w:r w:rsidRPr="006F3AFE">
        <w:rPr>
          <w:rFonts w:cs="Calibri"/>
          <w:sz w:val="18"/>
          <w:szCs w:val="18"/>
          <w:lang w:val="el-GR"/>
        </w:rPr>
        <w:t xml:space="preserve"> </w:t>
      </w:r>
      <w:r>
        <w:rPr>
          <w:rFonts w:cs="Calibri"/>
          <w:sz w:val="18"/>
          <w:szCs w:val="18"/>
          <w:lang w:val="el-GR"/>
        </w:rPr>
        <w:t>για</w:t>
      </w:r>
      <w:r w:rsidRPr="006F3AFE">
        <w:rPr>
          <w:rFonts w:cs="Calibri"/>
          <w:sz w:val="18"/>
          <w:szCs w:val="18"/>
          <w:lang w:val="el-GR"/>
        </w:rPr>
        <w:t xml:space="preserve"> </w:t>
      </w:r>
      <w:r>
        <w:rPr>
          <w:rFonts w:cs="Calibri"/>
          <w:sz w:val="18"/>
          <w:szCs w:val="18"/>
          <w:lang w:val="el-GR"/>
        </w:rPr>
        <w:t>την</w:t>
      </w:r>
      <w:r w:rsidRPr="006F3AFE">
        <w:rPr>
          <w:rFonts w:cs="Calibri"/>
          <w:sz w:val="18"/>
          <w:szCs w:val="18"/>
          <w:lang w:val="el-GR"/>
        </w:rPr>
        <w:t xml:space="preserve"> </w:t>
      </w:r>
      <w:r>
        <w:rPr>
          <w:rFonts w:cs="Calibri"/>
          <w:sz w:val="18"/>
          <w:szCs w:val="18"/>
          <w:lang w:val="el-GR"/>
        </w:rPr>
        <w:t>προστασία</w:t>
      </w:r>
      <w:r w:rsidRPr="006F3AFE">
        <w:rPr>
          <w:rFonts w:cs="Calibri"/>
          <w:sz w:val="18"/>
          <w:szCs w:val="18"/>
          <w:lang w:val="el-GR"/>
        </w:rPr>
        <w:t xml:space="preserve"> </w:t>
      </w:r>
      <w:r>
        <w:rPr>
          <w:rFonts w:cs="Calibri"/>
          <w:sz w:val="18"/>
          <w:szCs w:val="18"/>
          <w:lang w:val="el-GR"/>
        </w:rPr>
        <w:t>των</w:t>
      </w:r>
      <w:r w:rsidRPr="006F3AFE">
        <w:rPr>
          <w:rFonts w:cs="Calibri"/>
          <w:sz w:val="18"/>
          <w:szCs w:val="18"/>
          <w:lang w:val="el-GR"/>
        </w:rPr>
        <w:t xml:space="preserve"> </w:t>
      </w:r>
      <w:r>
        <w:rPr>
          <w:rFonts w:cs="Calibri"/>
          <w:sz w:val="18"/>
          <w:szCs w:val="18"/>
          <w:lang w:val="el-GR"/>
        </w:rPr>
        <w:t>εργαζομένων</w:t>
      </w:r>
      <w:r w:rsidR="00DD5A6B" w:rsidRPr="006F3AFE">
        <w:rPr>
          <w:rFonts w:cs="Calibri"/>
          <w:sz w:val="18"/>
          <w:szCs w:val="18"/>
          <w:lang w:val="el-GR"/>
        </w:rPr>
        <w:t xml:space="preserve">: </w:t>
      </w:r>
      <w:r>
        <w:rPr>
          <w:rFonts w:cs="Calibri"/>
          <w:sz w:val="18"/>
          <w:szCs w:val="18"/>
          <w:lang w:val="el-GR"/>
        </w:rPr>
        <w:t xml:space="preserve">λειτουργικότητα </w:t>
      </w:r>
      <w:proofErr w:type="spellStart"/>
      <w:r>
        <w:rPr>
          <w:rFonts w:cs="Calibri"/>
          <w:sz w:val="18"/>
          <w:szCs w:val="18"/>
          <w:lang w:val="el-GR"/>
        </w:rPr>
        <w:t>τηλεεργασίας</w:t>
      </w:r>
      <w:proofErr w:type="spellEnd"/>
      <w:r>
        <w:rPr>
          <w:rFonts w:cs="Calibri"/>
          <w:sz w:val="18"/>
          <w:szCs w:val="18"/>
          <w:lang w:val="el-GR"/>
        </w:rPr>
        <w:t xml:space="preserve"> από την πρώτη μέρα του </w:t>
      </w:r>
      <w:r w:rsidR="00DD5A6B" w:rsidRPr="00DD5A6B">
        <w:rPr>
          <w:rFonts w:cs="Calibri"/>
          <w:sz w:val="18"/>
          <w:szCs w:val="18"/>
        </w:rPr>
        <w:t>lockdown</w:t>
      </w:r>
      <w:r w:rsidR="00DD5A6B" w:rsidRPr="006F3AFE">
        <w:rPr>
          <w:rFonts w:cs="Calibri"/>
          <w:sz w:val="18"/>
          <w:szCs w:val="18"/>
          <w:lang w:val="el-GR"/>
        </w:rPr>
        <w:t xml:space="preserve">, </w:t>
      </w:r>
      <w:r>
        <w:rPr>
          <w:rFonts w:cs="Calibri"/>
          <w:sz w:val="18"/>
          <w:szCs w:val="18"/>
          <w:lang w:val="el-GR"/>
        </w:rPr>
        <w:t>εργαλεία ψηφιακής επικοινωνίας, οδηγίες ασφ</w:t>
      </w:r>
      <w:r w:rsidR="008F78D3">
        <w:rPr>
          <w:rFonts w:cs="Calibri"/>
          <w:sz w:val="18"/>
          <w:szCs w:val="18"/>
          <w:lang w:val="el-GR"/>
        </w:rPr>
        <w:t xml:space="preserve">άλειας </w:t>
      </w:r>
      <w:r>
        <w:rPr>
          <w:rFonts w:cs="Calibri"/>
          <w:sz w:val="18"/>
          <w:szCs w:val="18"/>
          <w:lang w:val="el-GR"/>
        </w:rPr>
        <w:t xml:space="preserve">και υγείας </w:t>
      </w:r>
      <w:r w:rsidR="00DD5A6B" w:rsidRPr="006F3AFE">
        <w:rPr>
          <w:rFonts w:cs="Calibri"/>
          <w:sz w:val="18"/>
          <w:szCs w:val="18"/>
          <w:lang w:val="el-GR"/>
        </w:rPr>
        <w:t xml:space="preserve"> </w:t>
      </w:r>
    </w:p>
    <w:p w:rsidR="00742184" w:rsidRPr="00C3474A" w:rsidRDefault="00C3474A" w:rsidP="003B441D">
      <w:pPr>
        <w:pStyle w:val="ListParagraph"/>
        <w:numPr>
          <w:ilvl w:val="0"/>
          <w:numId w:val="15"/>
        </w:numPr>
        <w:spacing w:after="20"/>
        <w:contextualSpacing w:val="0"/>
        <w:rPr>
          <w:rFonts w:cs="Calibri"/>
          <w:sz w:val="18"/>
          <w:szCs w:val="18"/>
          <w:lang w:val="el-GR"/>
        </w:rPr>
      </w:pPr>
      <w:r>
        <w:rPr>
          <w:rFonts w:cs="Calibri"/>
          <w:sz w:val="18"/>
          <w:szCs w:val="18"/>
          <w:lang w:val="el-GR"/>
        </w:rPr>
        <w:t>Προληπτική</w:t>
      </w:r>
      <w:r w:rsidRPr="00C3474A">
        <w:rPr>
          <w:rFonts w:cs="Calibri"/>
          <w:sz w:val="18"/>
          <w:szCs w:val="18"/>
          <w:lang w:val="el-GR"/>
        </w:rPr>
        <w:t xml:space="preserve"> </w:t>
      </w:r>
      <w:r>
        <w:rPr>
          <w:rFonts w:cs="Calibri"/>
          <w:sz w:val="18"/>
          <w:szCs w:val="18"/>
          <w:lang w:val="el-GR"/>
        </w:rPr>
        <w:t>επικοινωνία</w:t>
      </w:r>
      <w:r w:rsidRPr="00C3474A">
        <w:rPr>
          <w:rFonts w:cs="Calibri"/>
          <w:sz w:val="18"/>
          <w:szCs w:val="18"/>
          <w:lang w:val="el-GR"/>
        </w:rPr>
        <w:t xml:space="preserve"> </w:t>
      </w:r>
      <w:r>
        <w:rPr>
          <w:rFonts w:cs="Calibri"/>
          <w:sz w:val="18"/>
          <w:szCs w:val="18"/>
          <w:lang w:val="el-GR"/>
        </w:rPr>
        <w:t>με</w:t>
      </w:r>
      <w:r w:rsidRPr="00C3474A">
        <w:rPr>
          <w:rFonts w:cs="Calibri"/>
          <w:sz w:val="18"/>
          <w:szCs w:val="18"/>
          <w:lang w:val="el-GR"/>
        </w:rPr>
        <w:t xml:space="preserve"> </w:t>
      </w:r>
      <w:r>
        <w:rPr>
          <w:rFonts w:cs="Calibri"/>
          <w:sz w:val="18"/>
          <w:szCs w:val="18"/>
          <w:lang w:val="el-GR"/>
        </w:rPr>
        <w:t>τους</w:t>
      </w:r>
      <w:r w:rsidRPr="00C3474A">
        <w:rPr>
          <w:rFonts w:cs="Calibri"/>
          <w:sz w:val="18"/>
          <w:szCs w:val="18"/>
          <w:lang w:val="el-GR"/>
        </w:rPr>
        <w:t xml:space="preserve"> </w:t>
      </w:r>
      <w:r>
        <w:rPr>
          <w:rFonts w:cs="Calibri"/>
          <w:sz w:val="18"/>
          <w:szCs w:val="18"/>
          <w:lang w:val="el-GR"/>
        </w:rPr>
        <w:t>πελάτες</w:t>
      </w:r>
      <w:r w:rsidR="002022FE">
        <w:rPr>
          <w:rFonts w:cs="Calibri"/>
          <w:sz w:val="18"/>
          <w:szCs w:val="18"/>
          <w:lang w:val="el-GR"/>
        </w:rPr>
        <w:t xml:space="preserve"> που έχουν πληγεί</w:t>
      </w:r>
      <w:r>
        <w:rPr>
          <w:rFonts w:cs="Calibri"/>
          <w:sz w:val="18"/>
          <w:szCs w:val="18"/>
          <w:lang w:val="el-GR"/>
        </w:rPr>
        <w:t>, παρ</w:t>
      </w:r>
      <w:r w:rsidR="0070715E">
        <w:rPr>
          <w:rFonts w:cs="Calibri"/>
          <w:sz w:val="18"/>
          <w:szCs w:val="18"/>
          <w:lang w:val="el-GR"/>
        </w:rPr>
        <w:t>έ</w:t>
      </w:r>
      <w:r>
        <w:rPr>
          <w:rFonts w:cs="Calibri"/>
          <w:sz w:val="18"/>
          <w:szCs w:val="18"/>
          <w:lang w:val="el-GR"/>
        </w:rPr>
        <w:t>χ</w:t>
      </w:r>
      <w:r w:rsidR="0070715E">
        <w:rPr>
          <w:rFonts w:cs="Calibri"/>
          <w:sz w:val="18"/>
          <w:szCs w:val="18"/>
          <w:lang w:val="el-GR"/>
        </w:rPr>
        <w:t>ο</w:t>
      </w:r>
      <w:r>
        <w:rPr>
          <w:rFonts w:cs="Calibri"/>
          <w:sz w:val="18"/>
          <w:szCs w:val="18"/>
          <w:lang w:val="el-GR"/>
        </w:rPr>
        <w:t xml:space="preserve">ντας </w:t>
      </w:r>
      <w:proofErr w:type="spellStart"/>
      <w:r>
        <w:rPr>
          <w:rFonts w:cs="Calibri"/>
          <w:sz w:val="18"/>
          <w:szCs w:val="18"/>
          <w:lang w:val="el-GR"/>
        </w:rPr>
        <w:t>στοχευμένες</w:t>
      </w:r>
      <w:proofErr w:type="spellEnd"/>
      <w:r>
        <w:rPr>
          <w:rFonts w:cs="Calibri"/>
          <w:sz w:val="18"/>
          <w:szCs w:val="18"/>
          <w:lang w:val="el-GR"/>
        </w:rPr>
        <w:t xml:space="preserve"> λύσεις</w:t>
      </w:r>
    </w:p>
    <w:p w:rsidR="009302EF" w:rsidRPr="004433B2" w:rsidRDefault="004433B2" w:rsidP="003B441D">
      <w:pPr>
        <w:pStyle w:val="ListParagraph"/>
        <w:numPr>
          <w:ilvl w:val="0"/>
          <w:numId w:val="15"/>
        </w:numPr>
        <w:spacing w:after="20"/>
        <w:contextualSpacing w:val="0"/>
        <w:rPr>
          <w:rFonts w:cs="Calibri"/>
          <w:sz w:val="18"/>
          <w:szCs w:val="18"/>
          <w:lang w:val="el-GR"/>
        </w:rPr>
      </w:pPr>
      <w:r>
        <w:rPr>
          <w:rFonts w:cs="Calibri"/>
          <w:sz w:val="18"/>
          <w:szCs w:val="18"/>
          <w:lang w:val="el-GR"/>
        </w:rPr>
        <w:t>Τα</w:t>
      </w:r>
      <w:r w:rsidRPr="004433B2">
        <w:rPr>
          <w:rFonts w:cs="Calibri"/>
          <w:sz w:val="18"/>
          <w:szCs w:val="18"/>
          <w:lang w:val="el-GR"/>
        </w:rPr>
        <w:t xml:space="preserve"> </w:t>
      </w:r>
      <w:r>
        <w:rPr>
          <w:rFonts w:cs="Calibri"/>
          <w:sz w:val="18"/>
          <w:szCs w:val="18"/>
          <w:lang w:val="el-GR"/>
        </w:rPr>
        <w:t>δάνεια</w:t>
      </w:r>
      <w:r w:rsidRPr="004433B2">
        <w:rPr>
          <w:rFonts w:cs="Calibri"/>
          <w:sz w:val="18"/>
          <w:szCs w:val="18"/>
          <w:lang w:val="el-GR"/>
        </w:rPr>
        <w:t xml:space="preserve"> </w:t>
      </w:r>
      <w:r>
        <w:rPr>
          <w:rFonts w:cs="Calibri"/>
          <w:sz w:val="18"/>
          <w:szCs w:val="18"/>
          <w:lang w:val="el-GR"/>
        </w:rPr>
        <w:t>σε</w:t>
      </w:r>
      <w:r w:rsidRPr="004433B2">
        <w:rPr>
          <w:rFonts w:cs="Calibri"/>
          <w:sz w:val="18"/>
          <w:szCs w:val="18"/>
          <w:lang w:val="el-GR"/>
        </w:rPr>
        <w:t xml:space="preserve"> </w:t>
      </w:r>
      <w:r>
        <w:rPr>
          <w:rFonts w:cs="Calibri"/>
          <w:sz w:val="18"/>
          <w:szCs w:val="18"/>
          <w:lang w:val="el-GR"/>
        </w:rPr>
        <w:t>αναστολή</w:t>
      </w:r>
      <w:r w:rsidRPr="004433B2">
        <w:rPr>
          <w:rFonts w:cs="Calibri"/>
          <w:sz w:val="18"/>
          <w:szCs w:val="18"/>
          <w:lang w:val="el-GR"/>
        </w:rPr>
        <w:t xml:space="preserve"> </w:t>
      </w:r>
      <w:r w:rsidR="00C902F1">
        <w:rPr>
          <w:rFonts w:cs="Calibri"/>
          <w:sz w:val="18"/>
          <w:szCs w:val="18"/>
          <w:lang w:val="el-GR"/>
        </w:rPr>
        <w:t xml:space="preserve">καταβολής οφειλών </w:t>
      </w:r>
      <w:r>
        <w:rPr>
          <w:rFonts w:cs="Calibri"/>
          <w:sz w:val="18"/>
          <w:szCs w:val="18"/>
          <w:lang w:val="el-GR"/>
        </w:rPr>
        <w:t>διαμορφώ</w:t>
      </w:r>
      <w:r w:rsidR="00C902F1">
        <w:rPr>
          <w:rFonts w:cs="Calibri"/>
          <w:sz w:val="18"/>
          <w:szCs w:val="18"/>
          <w:lang w:val="el-GR"/>
        </w:rPr>
        <w:t xml:space="preserve">νονται </w:t>
      </w:r>
      <w:r>
        <w:rPr>
          <w:rFonts w:cs="Calibri"/>
          <w:sz w:val="18"/>
          <w:szCs w:val="18"/>
          <w:lang w:val="el-GR"/>
        </w:rPr>
        <w:t xml:space="preserve">σε </w:t>
      </w:r>
      <w:r w:rsidR="0076443D" w:rsidRPr="004433B2">
        <w:rPr>
          <w:rFonts w:cs="Calibri"/>
          <w:sz w:val="18"/>
          <w:szCs w:val="18"/>
          <w:lang w:val="el-GR"/>
        </w:rPr>
        <w:t>€</w:t>
      </w:r>
      <w:r w:rsidR="009302EF" w:rsidRPr="004433B2">
        <w:rPr>
          <w:rFonts w:cs="Calibri"/>
          <w:sz w:val="18"/>
          <w:szCs w:val="18"/>
          <w:lang w:val="el-GR"/>
        </w:rPr>
        <w:t>4</w:t>
      </w:r>
      <w:r>
        <w:rPr>
          <w:rFonts w:cs="Calibri"/>
          <w:sz w:val="18"/>
          <w:szCs w:val="18"/>
          <w:lang w:val="el-GR"/>
        </w:rPr>
        <w:t>,</w:t>
      </w:r>
      <w:r w:rsidR="009302EF" w:rsidRPr="004433B2">
        <w:rPr>
          <w:rFonts w:cs="Calibri"/>
          <w:sz w:val="18"/>
          <w:szCs w:val="18"/>
          <w:lang w:val="el-GR"/>
        </w:rPr>
        <w:t>0</w:t>
      </w:r>
      <w:r>
        <w:rPr>
          <w:rFonts w:cs="Calibri"/>
          <w:sz w:val="18"/>
          <w:szCs w:val="18"/>
          <w:lang w:val="el-GR"/>
        </w:rPr>
        <w:t>δισ. μέχρι σήμερα. Η</w:t>
      </w:r>
      <w:r w:rsidRPr="004433B2">
        <w:rPr>
          <w:rFonts w:cs="Calibri"/>
          <w:sz w:val="18"/>
          <w:szCs w:val="18"/>
          <w:lang w:val="el-GR"/>
        </w:rPr>
        <w:t xml:space="preserve"> </w:t>
      </w:r>
      <w:r>
        <w:rPr>
          <w:rFonts w:cs="Calibri"/>
          <w:sz w:val="18"/>
          <w:szCs w:val="18"/>
          <w:lang w:val="el-GR"/>
        </w:rPr>
        <w:t>αναστολή</w:t>
      </w:r>
      <w:r w:rsidRPr="004433B2">
        <w:rPr>
          <w:rFonts w:cs="Calibri"/>
          <w:sz w:val="18"/>
          <w:szCs w:val="18"/>
          <w:lang w:val="el-GR"/>
        </w:rPr>
        <w:t xml:space="preserve"> </w:t>
      </w:r>
      <w:r>
        <w:rPr>
          <w:rFonts w:cs="Calibri"/>
          <w:sz w:val="18"/>
          <w:szCs w:val="18"/>
          <w:lang w:val="el-GR"/>
        </w:rPr>
        <w:t>παρέχεται</w:t>
      </w:r>
      <w:r w:rsidRPr="004433B2">
        <w:rPr>
          <w:rFonts w:cs="Calibri"/>
          <w:sz w:val="18"/>
          <w:szCs w:val="18"/>
          <w:lang w:val="el-GR"/>
        </w:rPr>
        <w:t xml:space="preserve"> </w:t>
      </w:r>
      <w:r>
        <w:rPr>
          <w:rFonts w:cs="Calibri"/>
          <w:sz w:val="18"/>
          <w:szCs w:val="18"/>
          <w:lang w:val="el-GR"/>
        </w:rPr>
        <w:t>σε</w:t>
      </w:r>
      <w:r w:rsidRPr="004433B2">
        <w:rPr>
          <w:rFonts w:cs="Calibri"/>
          <w:sz w:val="18"/>
          <w:szCs w:val="18"/>
          <w:lang w:val="el-GR"/>
        </w:rPr>
        <w:t xml:space="preserve"> </w:t>
      </w:r>
      <w:r>
        <w:rPr>
          <w:rFonts w:cs="Calibri"/>
          <w:sz w:val="18"/>
          <w:szCs w:val="18"/>
          <w:lang w:val="el-GR"/>
        </w:rPr>
        <w:t xml:space="preserve">επιλέξιμους πελάτες που δεν βρίσκονται σε καθυστέρηση </w:t>
      </w:r>
    </w:p>
    <w:p w:rsidR="001300D3" w:rsidRPr="001300D3" w:rsidRDefault="001300D3" w:rsidP="003B441D">
      <w:pPr>
        <w:pStyle w:val="ListParagraph"/>
        <w:numPr>
          <w:ilvl w:val="0"/>
          <w:numId w:val="15"/>
        </w:numPr>
        <w:spacing w:after="20"/>
        <w:contextualSpacing w:val="0"/>
        <w:rPr>
          <w:rFonts w:cs="Calibri"/>
          <w:sz w:val="18"/>
          <w:szCs w:val="18"/>
          <w:lang w:val="el-GR"/>
        </w:rPr>
      </w:pPr>
      <w:r w:rsidRPr="001300D3">
        <w:rPr>
          <w:rFonts w:cs="Calibri"/>
          <w:sz w:val="18"/>
          <w:szCs w:val="18"/>
          <w:lang w:val="el-GR"/>
        </w:rPr>
        <w:t>Ενεργός</w:t>
      </w:r>
      <w:r w:rsidRPr="00097BD8">
        <w:rPr>
          <w:rFonts w:cs="Calibri"/>
          <w:sz w:val="18"/>
          <w:szCs w:val="18"/>
          <w:lang w:val="el-GR"/>
        </w:rPr>
        <w:t xml:space="preserve"> </w:t>
      </w:r>
      <w:r w:rsidRPr="001300D3">
        <w:rPr>
          <w:rFonts w:cs="Calibri"/>
          <w:sz w:val="18"/>
          <w:szCs w:val="18"/>
          <w:lang w:val="el-GR"/>
        </w:rPr>
        <w:t>συμμετοχή</w:t>
      </w:r>
      <w:r w:rsidRPr="00097BD8">
        <w:rPr>
          <w:rFonts w:cs="Calibri"/>
          <w:sz w:val="18"/>
          <w:szCs w:val="18"/>
          <w:lang w:val="el-GR"/>
        </w:rPr>
        <w:t xml:space="preserve"> </w:t>
      </w:r>
      <w:r w:rsidRPr="001300D3">
        <w:rPr>
          <w:rFonts w:cs="Calibri"/>
          <w:sz w:val="18"/>
          <w:szCs w:val="18"/>
          <w:lang w:val="el-GR"/>
        </w:rPr>
        <w:t>στα</w:t>
      </w:r>
      <w:r w:rsidRPr="00097BD8">
        <w:rPr>
          <w:rFonts w:cs="Calibri"/>
          <w:sz w:val="18"/>
          <w:szCs w:val="18"/>
          <w:lang w:val="el-GR"/>
        </w:rPr>
        <w:t xml:space="preserve"> </w:t>
      </w:r>
      <w:r w:rsidR="0032404D">
        <w:rPr>
          <w:rFonts w:cs="Calibri"/>
          <w:sz w:val="18"/>
          <w:szCs w:val="18"/>
          <w:lang w:val="el-GR"/>
        </w:rPr>
        <w:t xml:space="preserve">κρατικά </w:t>
      </w:r>
      <w:r w:rsidRPr="001300D3">
        <w:rPr>
          <w:rFonts w:cs="Calibri"/>
          <w:sz w:val="18"/>
          <w:szCs w:val="18"/>
          <w:lang w:val="el-GR"/>
        </w:rPr>
        <w:t>σχήματα</w:t>
      </w:r>
      <w:r w:rsidRPr="00097BD8">
        <w:rPr>
          <w:rFonts w:cs="Calibri"/>
          <w:sz w:val="18"/>
          <w:szCs w:val="18"/>
          <w:lang w:val="el-GR"/>
        </w:rPr>
        <w:t xml:space="preserve"> </w:t>
      </w:r>
      <w:r w:rsidRPr="001300D3">
        <w:rPr>
          <w:rFonts w:cs="Calibri"/>
          <w:sz w:val="18"/>
          <w:szCs w:val="18"/>
          <w:lang w:val="el-GR"/>
        </w:rPr>
        <w:t>υποστήριξης</w:t>
      </w:r>
      <w:r w:rsidRPr="00097BD8">
        <w:rPr>
          <w:rFonts w:cs="Calibri"/>
          <w:sz w:val="18"/>
          <w:szCs w:val="18"/>
          <w:lang w:val="el-GR"/>
        </w:rPr>
        <w:t xml:space="preserve"> </w:t>
      </w:r>
      <w:r w:rsidRPr="001300D3">
        <w:rPr>
          <w:rFonts w:cs="Calibri"/>
          <w:sz w:val="18"/>
          <w:szCs w:val="18"/>
          <w:lang w:val="el-GR"/>
        </w:rPr>
        <w:t>χρηματοδότησης</w:t>
      </w:r>
      <w:r w:rsidRPr="00097BD8">
        <w:rPr>
          <w:rFonts w:cs="Calibri"/>
          <w:sz w:val="18"/>
          <w:szCs w:val="18"/>
          <w:lang w:val="el-GR"/>
        </w:rPr>
        <w:t xml:space="preserve">. </w:t>
      </w:r>
      <w:r w:rsidR="0032404D">
        <w:rPr>
          <w:rFonts w:cs="Calibri"/>
          <w:sz w:val="18"/>
          <w:szCs w:val="18"/>
          <w:lang w:val="el-GR"/>
        </w:rPr>
        <w:t xml:space="preserve">Περίπου </w:t>
      </w:r>
      <w:r w:rsidR="00E977FE" w:rsidRPr="001300D3">
        <w:rPr>
          <w:rFonts w:cs="Calibri"/>
          <w:sz w:val="18"/>
          <w:szCs w:val="18"/>
          <w:lang w:val="el-GR"/>
        </w:rPr>
        <w:t>40</w:t>
      </w:r>
      <w:r w:rsidR="00742184" w:rsidRPr="001300D3">
        <w:rPr>
          <w:rFonts w:cs="Calibri"/>
          <w:sz w:val="18"/>
          <w:szCs w:val="18"/>
          <w:lang w:val="el-GR"/>
        </w:rPr>
        <w:t>%</w:t>
      </w:r>
      <w:r w:rsidRPr="001300D3">
        <w:rPr>
          <w:rFonts w:cs="Calibri"/>
          <w:sz w:val="18"/>
          <w:szCs w:val="18"/>
          <w:lang w:val="el-GR"/>
        </w:rPr>
        <w:t xml:space="preserve"> μερίδιο αγοράς στις συνολικές αιτήσεις του προγράμματος για το νέο κεφάλαιο κίνησης με επιδότηση επιτοκίου </w:t>
      </w:r>
      <w:r w:rsidR="0032404D">
        <w:rPr>
          <w:rFonts w:cs="Calibri"/>
          <w:sz w:val="18"/>
          <w:szCs w:val="18"/>
          <w:lang w:val="el-GR"/>
        </w:rPr>
        <w:t xml:space="preserve">«ΤΕΠΙΧ </w:t>
      </w:r>
      <w:r w:rsidR="0032404D">
        <w:rPr>
          <w:rFonts w:cs="Calibri"/>
          <w:sz w:val="18"/>
          <w:szCs w:val="18"/>
        </w:rPr>
        <w:t>II</w:t>
      </w:r>
      <w:r w:rsidR="0032404D">
        <w:rPr>
          <w:rFonts w:cs="Calibri"/>
          <w:sz w:val="18"/>
          <w:szCs w:val="18"/>
          <w:lang w:val="el-GR"/>
        </w:rPr>
        <w:t>»</w:t>
      </w:r>
    </w:p>
    <w:p w:rsidR="00874264" w:rsidRDefault="001300D3" w:rsidP="003B441D">
      <w:pPr>
        <w:pStyle w:val="ListParagraph"/>
        <w:numPr>
          <w:ilvl w:val="0"/>
          <w:numId w:val="15"/>
        </w:numPr>
        <w:spacing w:after="20"/>
        <w:contextualSpacing w:val="0"/>
        <w:rPr>
          <w:rFonts w:cs="Calibri"/>
          <w:sz w:val="18"/>
          <w:szCs w:val="18"/>
          <w:lang w:val="el-GR"/>
        </w:rPr>
      </w:pPr>
      <w:r>
        <w:rPr>
          <w:rFonts w:cs="Calibri"/>
          <w:sz w:val="18"/>
          <w:szCs w:val="18"/>
          <w:lang w:val="el-GR"/>
        </w:rPr>
        <w:t>Επιταχυνόμενη</w:t>
      </w:r>
      <w:r w:rsidRPr="001300D3">
        <w:rPr>
          <w:rFonts w:cs="Calibri"/>
          <w:sz w:val="18"/>
          <w:szCs w:val="18"/>
          <w:lang w:val="el-GR"/>
        </w:rPr>
        <w:t xml:space="preserve"> </w:t>
      </w:r>
      <w:r>
        <w:rPr>
          <w:rFonts w:cs="Calibri"/>
          <w:sz w:val="18"/>
          <w:szCs w:val="18"/>
          <w:lang w:val="el-GR"/>
        </w:rPr>
        <w:t>ψηφιακή</w:t>
      </w:r>
      <w:r w:rsidRPr="001300D3">
        <w:rPr>
          <w:rFonts w:cs="Calibri"/>
          <w:sz w:val="18"/>
          <w:szCs w:val="18"/>
          <w:lang w:val="el-GR"/>
        </w:rPr>
        <w:t xml:space="preserve"> </w:t>
      </w:r>
      <w:r>
        <w:rPr>
          <w:rFonts w:cs="Calibri"/>
          <w:sz w:val="18"/>
          <w:szCs w:val="18"/>
          <w:lang w:val="el-GR"/>
        </w:rPr>
        <w:t>διείσδυση</w:t>
      </w:r>
      <w:r w:rsidR="0076443D" w:rsidRPr="001300D3">
        <w:rPr>
          <w:rFonts w:cs="Calibri"/>
          <w:sz w:val="18"/>
          <w:szCs w:val="18"/>
          <w:lang w:val="el-GR"/>
        </w:rPr>
        <w:t>,</w:t>
      </w:r>
      <w:r>
        <w:rPr>
          <w:rFonts w:cs="Calibri"/>
          <w:sz w:val="18"/>
          <w:szCs w:val="18"/>
          <w:lang w:val="el-GR"/>
        </w:rPr>
        <w:t xml:space="preserve"> με</w:t>
      </w:r>
      <w:r w:rsidR="0076443D" w:rsidRPr="001300D3">
        <w:rPr>
          <w:rFonts w:cs="Calibri"/>
          <w:sz w:val="18"/>
          <w:szCs w:val="18"/>
          <w:lang w:val="el-GR"/>
        </w:rPr>
        <w:t xml:space="preserve"> </w:t>
      </w:r>
      <w:r w:rsidR="009302EF" w:rsidRPr="001300D3">
        <w:rPr>
          <w:rFonts w:cs="Calibri"/>
          <w:sz w:val="18"/>
          <w:szCs w:val="18"/>
          <w:lang w:val="el-GR"/>
        </w:rPr>
        <w:t>8</w:t>
      </w:r>
      <w:r w:rsidRPr="001300D3">
        <w:rPr>
          <w:rFonts w:cs="Calibri"/>
          <w:sz w:val="18"/>
          <w:szCs w:val="18"/>
          <w:lang w:val="el-GR"/>
        </w:rPr>
        <w:t xml:space="preserve"> </w:t>
      </w:r>
      <w:r>
        <w:rPr>
          <w:rFonts w:cs="Calibri"/>
          <w:sz w:val="18"/>
          <w:szCs w:val="18"/>
          <w:lang w:val="el-GR"/>
        </w:rPr>
        <w:t>φορές</w:t>
      </w:r>
      <w:r w:rsidRPr="001300D3">
        <w:rPr>
          <w:rFonts w:cs="Calibri"/>
          <w:sz w:val="18"/>
          <w:szCs w:val="18"/>
          <w:lang w:val="el-GR"/>
        </w:rPr>
        <w:t xml:space="preserve"> </w:t>
      </w:r>
      <w:r>
        <w:rPr>
          <w:rFonts w:cs="Calibri"/>
          <w:sz w:val="18"/>
          <w:szCs w:val="18"/>
          <w:lang w:val="el-GR"/>
        </w:rPr>
        <w:t>αύξηση</w:t>
      </w:r>
      <w:r w:rsidRPr="001300D3">
        <w:rPr>
          <w:rFonts w:cs="Calibri"/>
          <w:sz w:val="18"/>
          <w:szCs w:val="18"/>
          <w:lang w:val="el-GR"/>
        </w:rPr>
        <w:t xml:space="preserve"> </w:t>
      </w:r>
      <w:r>
        <w:rPr>
          <w:rFonts w:cs="Calibri"/>
          <w:sz w:val="18"/>
          <w:szCs w:val="18"/>
          <w:lang w:val="el-GR"/>
        </w:rPr>
        <w:t>των</w:t>
      </w:r>
      <w:r w:rsidRPr="001300D3">
        <w:rPr>
          <w:rFonts w:cs="Calibri"/>
          <w:sz w:val="18"/>
          <w:szCs w:val="18"/>
          <w:lang w:val="el-GR"/>
        </w:rPr>
        <w:t xml:space="preserve"> </w:t>
      </w:r>
      <w:r>
        <w:rPr>
          <w:rFonts w:cs="Calibri"/>
          <w:sz w:val="18"/>
          <w:szCs w:val="18"/>
          <w:lang w:val="el-GR"/>
        </w:rPr>
        <w:t xml:space="preserve">εγγραφών στη </w:t>
      </w:r>
      <w:proofErr w:type="spellStart"/>
      <w:r w:rsidR="00742184" w:rsidRPr="001300D3">
        <w:rPr>
          <w:rFonts w:cs="Calibri"/>
          <w:sz w:val="18"/>
          <w:szCs w:val="18"/>
        </w:rPr>
        <w:t>winbank</w:t>
      </w:r>
      <w:proofErr w:type="spellEnd"/>
      <w:r w:rsidR="00BA4F8C" w:rsidRPr="00BA4F8C">
        <w:rPr>
          <w:rFonts w:cs="Calibri"/>
          <w:sz w:val="18"/>
          <w:szCs w:val="18"/>
          <w:lang w:val="el-GR"/>
        </w:rPr>
        <w:t xml:space="preserve"> </w:t>
      </w:r>
      <w:r w:rsidR="00BA4F8C">
        <w:rPr>
          <w:rFonts w:cs="Calibri"/>
          <w:sz w:val="18"/>
          <w:szCs w:val="18"/>
          <w:lang w:val="el-GR"/>
        </w:rPr>
        <w:t>σε σχέση με το προηγούμενο έτος</w:t>
      </w:r>
      <w:r>
        <w:rPr>
          <w:rFonts w:cs="Calibri"/>
          <w:sz w:val="18"/>
          <w:szCs w:val="18"/>
          <w:lang w:val="el-GR"/>
        </w:rPr>
        <w:t>. Το</w:t>
      </w:r>
      <w:r w:rsidRPr="00BA4F8C">
        <w:rPr>
          <w:rFonts w:cs="Calibri"/>
          <w:sz w:val="18"/>
          <w:szCs w:val="18"/>
          <w:lang w:val="el-GR"/>
        </w:rPr>
        <w:t xml:space="preserve"> </w:t>
      </w:r>
      <w:r w:rsidR="00DD5A6B" w:rsidRPr="00BA4F8C">
        <w:rPr>
          <w:rFonts w:cs="Calibri"/>
          <w:sz w:val="18"/>
          <w:szCs w:val="18"/>
          <w:lang w:val="el-GR"/>
        </w:rPr>
        <w:t>94%</w:t>
      </w:r>
      <w:r w:rsidRPr="00BA4F8C">
        <w:rPr>
          <w:rFonts w:cs="Calibri"/>
          <w:sz w:val="18"/>
          <w:szCs w:val="18"/>
          <w:lang w:val="el-GR"/>
        </w:rPr>
        <w:t xml:space="preserve"> </w:t>
      </w:r>
      <w:r>
        <w:rPr>
          <w:rFonts w:cs="Calibri"/>
          <w:sz w:val="18"/>
          <w:szCs w:val="18"/>
          <w:lang w:val="el-GR"/>
        </w:rPr>
        <w:t>των</w:t>
      </w:r>
      <w:r w:rsidRPr="00BA4F8C">
        <w:rPr>
          <w:rFonts w:cs="Calibri"/>
          <w:sz w:val="18"/>
          <w:szCs w:val="18"/>
          <w:lang w:val="el-GR"/>
        </w:rPr>
        <w:t xml:space="preserve"> </w:t>
      </w:r>
      <w:r>
        <w:rPr>
          <w:rFonts w:cs="Calibri"/>
          <w:sz w:val="18"/>
          <w:szCs w:val="18"/>
          <w:lang w:val="el-GR"/>
        </w:rPr>
        <w:t>τραπεζικών</w:t>
      </w:r>
      <w:r w:rsidRPr="00BA4F8C">
        <w:rPr>
          <w:rFonts w:cs="Calibri"/>
          <w:sz w:val="18"/>
          <w:szCs w:val="18"/>
          <w:lang w:val="el-GR"/>
        </w:rPr>
        <w:t xml:space="preserve"> </w:t>
      </w:r>
      <w:r>
        <w:rPr>
          <w:rFonts w:cs="Calibri"/>
          <w:sz w:val="18"/>
          <w:szCs w:val="18"/>
          <w:lang w:val="el-GR"/>
        </w:rPr>
        <w:t>συναλλαγών</w:t>
      </w:r>
      <w:r w:rsidRPr="00BA4F8C">
        <w:rPr>
          <w:rFonts w:cs="Calibri"/>
          <w:sz w:val="18"/>
          <w:szCs w:val="18"/>
          <w:lang w:val="el-GR"/>
        </w:rPr>
        <w:t xml:space="preserve"> </w:t>
      </w:r>
      <w:r>
        <w:rPr>
          <w:rFonts w:cs="Calibri"/>
          <w:sz w:val="18"/>
          <w:szCs w:val="18"/>
          <w:lang w:val="el-GR"/>
        </w:rPr>
        <w:t xml:space="preserve">εκτελείται μέσω </w:t>
      </w:r>
      <w:proofErr w:type="spellStart"/>
      <w:r w:rsidR="00DD5A6B" w:rsidRPr="001300D3">
        <w:rPr>
          <w:rFonts w:cs="Calibri"/>
          <w:sz w:val="18"/>
          <w:szCs w:val="18"/>
        </w:rPr>
        <w:t>winbank</w:t>
      </w:r>
      <w:proofErr w:type="spellEnd"/>
      <w:r w:rsidR="00BA4F8C">
        <w:rPr>
          <w:rFonts w:cs="Calibri"/>
          <w:sz w:val="18"/>
          <w:szCs w:val="18"/>
          <w:lang w:val="el-GR"/>
        </w:rPr>
        <w:t xml:space="preserve"> σε σχέση με 88% το προηγούμενο έτος</w:t>
      </w:r>
    </w:p>
    <w:p w:rsidR="00874264" w:rsidRDefault="00874264" w:rsidP="00874264">
      <w:pPr>
        <w:spacing w:after="20"/>
        <w:rPr>
          <w:rFonts w:cs="Calibri"/>
          <w:sz w:val="18"/>
          <w:szCs w:val="18"/>
        </w:rPr>
      </w:pPr>
    </w:p>
    <w:p w:rsidR="00874264" w:rsidRPr="005B3494" w:rsidRDefault="00874264" w:rsidP="00874264">
      <w:pPr>
        <w:spacing w:after="20" w:line="240" w:lineRule="auto"/>
        <w:rPr>
          <w:rFonts w:eastAsia="Times New Roman" w:cs="Calibri"/>
          <w:b/>
          <w:color w:val="6691AB"/>
        </w:rPr>
      </w:pPr>
      <w:r>
        <w:rPr>
          <w:rFonts w:eastAsia="Times New Roman" w:cs="Calibri"/>
          <w:b/>
          <w:color w:val="6691AB"/>
        </w:rPr>
        <w:t>Κύριες Οικονομικές Επιδόσεις 1</w:t>
      </w:r>
      <w:r w:rsidRPr="007D11CB">
        <w:rPr>
          <w:rFonts w:eastAsia="Times New Roman" w:cs="Calibri"/>
          <w:b/>
          <w:color w:val="6691AB"/>
          <w:vertAlign w:val="superscript"/>
        </w:rPr>
        <w:t>ου</w:t>
      </w:r>
      <w:r>
        <w:rPr>
          <w:rFonts w:eastAsia="Times New Roman" w:cs="Calibri"/>
          <w:b/>
          <w:color w:val="6691AB"/>
        </w:rPr>
        <w:t xml:space="preserve"> 3μήνου </w:t>
      </w:r>
      <w:r w:rsidRPr="005B3494">
        <w:rPr>
          <w:rFonts w:eastAsia="Times New Roman" w:cs="Calibri"/>
          <w:b/>
          <w:color w:val="6691AB"/>
        </w:rPr>
        <w:t xml:space="preserve">2020 </w:t>
      </w:r>
    </w:p>
    <w:p w:rsidR="00874264" w:rsidRPr="00061FE1"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Καθαρά</w:t>
      </w:r>
      <w:r w:rsidRPr="00061FE1">
        <w:rPr>
          <w:rFonts w:cs="Calibri"/>
          <w:sz w:val="18"/>
          <w:szCs w:val="18"/>
          <w:lang w:val="el-GR"/>
        </w:rPr>
        <w:t xml:space="preserve"> </w:t>
      </w:r>
      <w:r>
        <w:rPr>
          <w:rFonts w:cs="Calibri"/>
          <w:sz w:val="18"/>
          <w:szCs w:val="18"/>
          <w:lang w:val="el-GR"/>
        </w:rPr>
        <w:t>έσοδα</w:t>
      </w:r>
      <w:r w:rsidRPr="00061FE1">
        <w:rPr>
          <w:rFonts w:cs="Calibri"/>
          <w:sz w:val="18"/>
          <w:szCs w:val="18"/>
          <w:lang w:val="el-GR"/>
        </w:rPr>
        <w:t xml:space="preserve"> </w:t>
      </w:r>
      <w:r>
        <w:rPr>
          <w:rFonts w:cs="Calibri"/>
          <w:sz w:val="18"/>
          <w:szCs w:val="18"/>
          <w:lang w:val="el-GR"/>
        </w:rPr>
        <w:t>από</w:t>
      </w:r>
      <w:r w:rsidRPr="00061FE1">
        <w:rPr>
          <w:rFonts w:cs="Calibri"/>
          <w:sz w:val="18"/>
          <w:szCs w:val="18"/>
          <w:lang w:val="el-GR"/>
        </w:rPr>
        <w:t xml:space="preserve"> </w:t>
      </w:r>
      <w:r>
        <w:rPr>
          <w:rFonts w:cs="Calibri"/>
          <w:sz w:val="18"/>
          <w:szCs w:val="18"/>
          <w:lang w:val="el-GR"/>
        </w:rPr>
        <w:t xml:space="preserve">τόκους </w:t>
      </w:r>
      <w:r w:rsidRPr="00061FE1">
        <w:rPr>
          <w:rFonts w:cs="Calibri"/>
          <w:sz w:val="18"/>
          <w:szCs w:val="18"/>
          <w:lang w:val="el-GR"/>
        </w:rPr>
        <w:t>€360</w:t>
      </w:r>
      <w:r>
        <w:rPr>
          <w:rFonts w:cs="Calibri"/>
          <w:sz w:val="18"/>
          <w:szCs w:val="18"/>
          <w:lang w:val="el-GR"/>
        </w:rPr>
        <w:t>εκατ.</w:t>
      </w:r>
      <w:r w:rsidRPr="00061FE1">
        <w:rPr>
          <w:rFonts w:cs="Calibri"/>
          <w:sz w:val="18"/>
          <w:szCs w:val="18"/>
          <w:lang w:val="el-GR"/>
        </w:rPr>
        <w:t xml:space="preserve">, </w:t>
      </w:r>
      <w:r>
        <w:rPr>
          <w:rFonts w:cs="Calibri"/>
          <w:sz w:val="18"/>
          <w:szCs w:val="18"/>
          <w:lang w:val="el-GR"/>
        </w:rPr>
        <w:t>σταθερά σε ετήσια βάση</w:t>
      </w:r>
    </w:p>
    <w:p w:rsidR="00874264" w:rsidRPr="00061FE1"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 xml:space="preserve">Καθαρά έσοδα από προμήθειες </w:t>
      </w:r>
      <w:r w:rsidRPr="00061FE1">
        <w:rPr>
          <w:rFonts w:cs="Calibri"/>
          <w:sz w:val="18"/>
          <w:szCs w:val="18"/>
          <w:lang w:val="el-GR"/>
        </w:rPr>
        <w:t>€71</w:t>
      </w:r>
      <w:r>
        <w:rPr>
          <w:rFonts w:cs="Calibri"/>
          <w:sz w:val="18"/>
          <w:szCs w:val="18"/>
          <w:lang w:val="el-GR"/>
        </w:rPr>
        <w:t>εκατ.</w:t>
      </w:r>
      <w:r w:rsidRPr="00061FE1">
        <w:rPr>
          <w:rFonts w:cs="Calibri"/>
          <w:sz w:val="18"/>
          <w:szCs w:val="18"/>
          <w:lang w:val="el-GR"/>
        </w:rPr>
        <w:t xml:space="preserve">, +3% </w:t>
      </w:r>
      <w:r>
        <w:rPr>
          <w:rFonts w:cs="Calibri"/>
          <w:sz w:val="18"/>
          <w:szCs w:val="18"/>
          <w:lang w:val="el-GR"/>
        </w:rPr>
        <w:t>σε ετήσια βάση</w:t>
      </w:r>
    </w:p>
    <w:p w:rsidR="00874264" w:rsidRDefault="00874264" w:rsidP="00874264">
      <w:pPr>
        <w:pStyle w:val="ListParagraph"/>
        <w:numPr>
          <w:ilvl w:val="0"/>
          <w:numId w:val="15"/>
        </w:numPr>
        <w:spacing w:after="20"/>
        <w:contextualSpacing w:val="0"/>
        <w:rPr>
          <w:rFonts w:cs="Calibri"/>
          <w:sz w:val="18"/>
          <w:szCs w:val="18"/>
          <w:lang w:val="el-GR"/>
        </w:rPr>
      </w:pPr>
      <w:r>
        <w:rPr>
          <w:rFonts w:cs="Calibri"/>
          <w:bCs/>
          <w:sz w:val="18"/>
          <w:szCs w:val="18"/>
          <w:lang w:val="el-GR"/>
        </w:rPr>
        <w:t>Εκταμιεύσεις</w:t>
      </w:r>
      <w:r w:rsidRPr="00FC59DA">
        <w:rPr>
          <w:rFonts w:cs="Calibri"/>
          <w:bCs/>
          <w:sz w:val="18"/>
          <w:szCs w:val="18"/>
          <w:lang w:val="el-GR"/>
        </w:rPr>
        <w:t xml:space="preserve"> </w:t>
      </w:r>
      <w:r>
        <w:rPr>
          <w:rFonts w:cs="Calibri"/>
          <w:bCs/>
          <w:sz w:val="18"/>
          <w:szCs w:val="18"/>
          <w:lang w:val="el-GR"/>
        </w:rPr>
        <w:t>νέων</w:t>
      </w:r>
      <w:r w:rsidRPr="00FC59DA">
        <w:rPr>
          <w:rFonts w:cs="Calibri"/>
          <w:bCs/>
          <w:sz w:val="18"/>
          <w:szCs w:val="18"/>
          <w:lang w:val="el-GR"/>
        </w:rPr>
        <w:t xml:space="preserve"> </w:t>
      </w:r>
      <w:r>
        <w:rPr>
          <w:rFonts w:cs="Calibri"/>
          <w:bCs/>
          <w:sz w:val="18"/>
          <w:szCs w:val="18"/>
          <w:lang w:val="el-GR"/>
        </w:rPr>
        <w:t>δανείων</w:t>
      </w:r>
      <w:r w:rsidRPr="00FC59DA">
        <w:rPr>
          <w:rFonts w:cs="Calibri"/>
          <w:bCs/>
          <w:sz w:val="18"/>
          <w:szCs w:val="18"/>
          <w:lang w:val="el-GR"/>
        </w:rPr>
        <w:t xml:space="preserve">: </w:t>
      </w:r>
      <w:r w:rsidRPr="00FC59DA">
        <w:rPr>
          <w:rFonts w:cs="Calibri"/>
          <w:sz w:val="18"/>
          <w:szCs w:val="18"/>
          <w:lang w:val="el-GR"/>
        </w:rPr>
        <w:t>€2,2</w:t>
      </w:r>
      <w:r>
        <w:rPr>
          <w:rFonts w:cs="Calibri"/>
          <w:sz w:val="18"/>
          <w:szCs w:val="18"/>
          <w:lang w:val="el-GR"/>
        </w:rPr>
        <w:t>δισ</w:t>
      </w:r>
      <w:r w:rsidRPr="00FC59DA">
        <w:rPr>
          <w:rFonts w:cs="Calibri"/>
          <w:sz w:val="18"/>
          <w:szCs w:val="18"/>
          <w:lang w:val="el-GR"/>
        </w:rPr>
        <w:t xml:space="preserve">. </w:t>
      </w:r>
      <w:r>
        <w:rPr>
          <w:rFonts w:cs="Calibri"/>
          <w:sz w:val="18"/>
          <w:szCs w:val="18"/>
          <w:lang w:val="el-GR"/>
        </w:rPr>
        <w:t>μέχρι</w:t>
      </w:r>
      <w:r w:rsidRPr="00FC59DA">
        <w:rPr>
          <w:rFonts w:cs="Calibri"/>
          <w:sz w:val="18"/>
          <w:szCs w:val="18"/>
          <w:lang w:val="el-GR"/>
        </w:rPr>
        <w:t xml:space="preserve"> </w:t>
      </w:r>
      <w:r>
        <w:rPr>
          <w:rFonts w:cs="Calibri"/>
          <w:sz w:val="18"/>
          <w:szCs w:val="18"/>
          <w:lang w:val="el-GR"/>
        </w:rPr>
        <w:t>σήμερα</w:t>
      </w:r>
      <w:r w:rsidRPr="00FC59DA">
        <w:rPr>
          <w:rFonts w:cs="Calibri"/>
          <w:sz w:val="18"/>
          <w:szCs w:val="18"/>
          <w:lang w:val="el-GR"/>
        </w:rPr>
        <w:t>, €1,5</w:t>
      </w:r>
      <w:r>
        <w:rPr>
          <w:rFonts w:cs="Calibri"/>
          <w:sz w:val="18"/>
          <w:szCs w:val="18"/>
          <w:lang w:val="el-GR"/>
        </w:rPr>
        <w:t>δισ</w:t>
      </w:r>
      <w:r w:rsidRPr="00FC59DA">
        <w:rPr>
          <w:rFonts w:cs="Calibri"/>
          <w:sz w:val="18"/>
          <w:szCs w:val="18"/>
          <w:lang w:val="el-GR"/>
        </w:rPr>
        <w:t xml:space="preserve">. </w:t>
      </w:r>
      <w:r>
        <w:rPr>
          <w:rFonts w:cs="Calibri"/>
          <w:sz w:val="18"/>
          <w:szCs w:val="18"/>
          <w:lang w:val="el-GR"/>
        </w:rPr>
        <w:t>από τις αρχές Μαρτίου</w:t>
      </w:r>
      <w:r w:rsidRPr="00FC59DA">
        <w:rPr>
          <w:rFonts w:cs="Calibri"/>
          <w:sz w:val="18"/>
          <w:szCs w:val="18"/>
          <w:lang w:val="el-GR"/>
        </w:rPr>
        <w:t xml:space="preserve">, </w:t>
      </w:r>
      <w:r>
        <w:rPr>
          <w:rFonts w:cs="Calibri"/>
          <w:sz w:val="18"/>
          <w:szCs w:val="18"/>
          <w:lang w:val="el-GR"/>
        </w:rPr>
        <w:t>καλύπτοντας την αυξημένη πιστωτική ζήτηση</w:t>
      </w:r>
    </w:p>
    <w:p w:rsidR="00874264" w:rsidRPr="00FC59DA"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Ισχυρές</w:t>
      </w:r>
      <w:r w:rsidRPr="00FC59DA">
        <w:rPr>
          <w:rFonts w:cs="Calibri"/>
          <w:sz w:val="18"/>
          <w:szCs w:val="18"/>
          <w:lang w:val="el-GR"/>
        </w:rPr>
        <w:t xml:space="preserve"> </w:t>
      </w:r>
      <w:r>
        <w:rPr>
          <w:rFonts w:cs="Calibri"/>
          <w:sz w:val="18"/>
          <w:szCs w:val="18"/>
          <w:lang w:val="el-GR"/>
        </w:rPr>
        <w:t>πελατειακές</w:t>
      </w:r>
      <w:r w:rsidRPr="00FC59DA">
        <w:rPr>
          <w:rFonts w:cs="Calibri"/>
          <w:sz w:val="18"/>
          <w:szCs w:val="18"/>
          <w:lang w:val="el-GR"/>
        </w:rPr>
        <w:t xml:space="preserve"> </w:t>
      </w:r>
      <w:r>
        <w:rPr>
          <w:rFonts w:cs="Calibri"/>
          <w:sz w:val="18"/>
          <w:szCs w:val="18"/>
          <w:lang w:val="el-GR"/>
        </w:rPr>
        <w:t>σχέσεις</w:t>
      </w:r>
      <w:r w:rsidRPr="00FC59DA">
        <w:rPr>
          <w:rFonts w:cs="Calibri"/>
          <w:sz w:val="18"/>
          <w:szCs w:val="18"/>
          <w:lang w:val="el-GR"/>
        </w:rPr>
        <w:t xml:space="preserve">: </w:t>
      </w:r>
      <w:r>
        <w:rPr>
          <w:rFonts w:cs="Calibri"/>
          <w:sz w:val="18"/>
          <w:szCs w:val="18"/>
          <w:lang w:val="el-GR"/>
        </w:rPr>
        <w:t>εισροές καταθέσεων ιδιωτικού τομέα</w:t>
      </w:r>
      <w:r w:rsidRPr="00FC59DA">
        <w:rPr>
          <w:rFonts w:cs="Calibri"/>
          <w:sz w:val="18"/>
          <w:szCs w:val="18"/>
          <w:lang w:val="el-GR"/>
        </w:rPr>
        <w:t xml:space="preserve"> +€1</w:t>
      </w:r>
      <w:r>
        <w:rPr>
          <w:rFonts w:cs="Calibri"/>
          <w:sz w:val="18"/>
          <w:szCs w:val="18"/>
          <w:lang w:val="el-GR"/>
        </w:rPr>
        <w:t>,</w:t>
      </w:r>
      <w:r w:rsidRPr="00FC59DA">
        <w:rPr>
          <w:rFonts w:cs="Calibri"/>
          <w:sz w:val="18"/>
          <w:szCs w:val="18"/>
          <w:lang w:val="el-GR"/>
        </w:rPr>
        <w:t>6</w:t>
      </w:r>
      <w:r>
        <w:rPr>
          <w:rFonts w:cs="Calibri"/>
          <w:sz w:val="18"/>
          <w:szCs w:val="18"/>
          <w:lang w:val="el-GR"/>
        </w:rPr>
        <w:t>δισ.</w:t>
      </w:r>
      <w:r w:rsidRPr="00FC59DA">
        <w:rPr>
          <w:rFonts w:cs="Calibri"/>
          <w:sz w:val="18"/>
          <w:szCs w:val="18"/>
          <w:lang w:val="el-GR"/>
        </w:rPr>
        <w:t xml:space="preserve"> </w:t>
      </w:r>
      <w:r>
        <w:rPr>
          <w:rFonts w:cs="Calibri"/>
          <w:sz w:val="18"/>
          <w:szCs w:val="18"/>
          <w:lang w:val="el-GR"/>
        </w:rPr>
        <w:t>από τις αρχές Μαρτίου 2020</w:t>
      </w:r>
    </w:p>
    <w:p w:rsidR="00874264" w:rsidRPr="008D2D1A"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Λειτουργικά</w:t>
      </w:r>
      <w:r w:rsidRPr="008D2D1A">
        <w:rPr>
          <w:rFonts w:cs="Calibri"/>
          <w:sz w:val="18"/>
          <w:szCs w:val="18"/>
          <w:lang w:val="el-GR"/>
        </w:rPr>
        <w:t xml:space="preserve"> </w:t>
      </w:r>
      <w:r>
        <w:rPr>
          <w:rFonts w:cs="Calibri"/>
          <w:sz w:val="18"/>
          <w:szCs w:val="18"/>
          <w:lang w:val="el-GR"/>
        </w:rPr>
        <w:t>έξοδα</w:t>
      </w:r>
      <w:r w:rsidRPr="008D2D1A">
        <w:rPr>
          <w:rFonts w:cs="Calibri"/>
          <w:sz w:val="18"/>
          <w:szCs w:val="18"/>
          <w:lang w:val="el-GR"/>
        </w:rPr>
        <w:t xml:space="preserve"> </w:t>
      </w:r>
      <w:r>
        <w:rPr>
          <w:rFonts w:cs="Calibri"/>
          <w:sz w:val="18"/>
          <w:szCs w:val="18"/>
          <w:lang w:val="el-GR"/>
        </w:rPr>
        <w:t xml:space="preserve">μειωμένα κατά </w:t>
      </w:r>
      <w:r w:rsidRPr="008D2D1A">
        <w:rPr>
          <w:rFonts w:cs="Calibri"/>
          <w:sz w:val="18"/>
          <w:szCs w:val="18"/>
          <w:lang w:val="el-GR"/>
        </w:rPr>
        <w:t xml:space="preserve">7% </w:t>
      </w:r>
      <w:r>
        <w:rPr>
          <w:rFonts w:cs="Calibri"/>
          <w:sz w:val="18"/>
          <w:szCs w:val="18"/>
          <w:lang w:val="el-GR"/>
        </w:rPr>
        <w:t>σε ετήσια συγκρίσιμη βάση, στα</w:t>
      </w:r>
      <w:r w:rsidRPr="008D2D1A">
        <w:rPr>
          <w:rFonts w:cs="Calibri"/>
          <w:sz w:val="18"/>
          <w:szCs w:val="18"/>
          <w:lang w:val="el-GR"/>
        </w:rPr>
        <w:t xml:space="preserve"> €215</w:t>
      </w:r>
      <w:r>
        <w:rPr>
          <w:rFonts w:cs="Calibri"/>
          <w:sz w:val="18"/>
          <w:szCs w:val="18"/>
          <w:lang w:val="el-GR"/>
        </w:rPr>
        <w:t>εκατ</w:t>
      </w:r>
      <w:r w:rsidRPr="008D2D1A">
        <w:rPr>
          <w:rFonts w:cs="Calibri"/>
          <w:sz w:val="18"/>
          <w:szCs w:val="18"/>
          <w:lang w:val="el-GR"/>
        </w:rPr>
        <w:t xml:space="preserve">. </w:t>
      </w:r>
    </w:p>
    <w:p w:rsidR="00874264" w:rsidRPr="0066510C" w:rsidRDefault="00874264" w:rsidP="00874264">
      <w:pPr>
        <w:pStyle w:val="ListParagraph"/>
        <w:numPr>
          <w:ilvl w:val="0"/>
          <w:numId w:val="15"/>
        </w:numPr>
        <w:spacing w:after="20"/>
        <w:contextualSpacing w:val="0"/>
        <w:rPr>
          <w:rFonts w:cs="Calibri"/>
          <w:color w:val="FF0000"/>
          <w:sz w:val="18"/>
          <w:szCs w:val="18"/>
          <w:lang w:val="el-GR"/>
        </w:rPr>
      </w:pPr>
      <w:r w:rsidRPr="0066510C">
        <w:rPr>
          <w:rFonts w:cs="Calibri"/>
          <w:sz w:val="18"/>
          <w:szCs w:val="18"/>
          <w:lang w:val="el-GR"/>
        </w:rPr>
        <w:t xml:space="preserve">Επαναλαμβανόμενο αποτέλεσμα προ φόρων, εξαιρουμένης της επίπτωσης του </w:t>
      </w:r>
      <w:r w:rsidRPr="0066510C">
        <w:rPr>
          <w:rFonts w:cs="Calibri"/>
          <w:sz w:val="18"/>
          <w:szCs w:val="18"/>
        </w:rPr>
        <w:t>COVID</w:t>
      </w:r>
      <w:r w:rsidRPr="0066510C">
        <w:rPr>
          <w:rFonts w:cs="Calibri"/>
          <w:sz w:val="18"/>
          <w:szCs w:val="18"/>
          <w:lang w:val="el-GR"/>
        </w:rPr>
        <w:t>-19, στα €30εκατ., από €23εκατ. το 1</w:t>
      </w:r>
      <w:r w:rsidRPr="0066510C">
        <w:rPr>
          <w:rFonts w:cs="Calibri"/>
          <w:sz w:val="18"/>
          <w:szCs w:val="18"/>
          <w:vertAlign w:val="superscript"/>
          <w:lang w:val="el-GR"/>
        </w:rPr>
        <w:t>ο</w:t>
      </w:r>
      <w:r w:rsidRPr="0066510C">
        <w:rPr>
          <w:rFonts w:cs="Calibri"/>
          <w:sz w:val="18"/>
          <w:szCs w:val="18"/>
          <w:lang w:val="el-GR"/>
        </w:rPr>
        <w:t xml:space="preserve"> τρίμηνο 2019</w:t>
      </w:r>
    </w:p>
    <w:p w:rsidR="00874264" w:rsidRPr="008B0F48"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Η</w:t>
      </w:r>
      <w:r w:rsidRPr="008B0F48">
        <w:rPr>
          <w:rFonts w:cs="Calibri"/>
          <w:sz w:val="18"/>
          <w:szCs w:val="18"/>
          <w:lang w:val="el-GR"/>
        </w:rPr>
        <w:t xml:space="preserve"> </w:t>
      </w:r>
      <w:r>
        <w:rPr>
          <w:rFonts w:cs="Calibri"/>
          <w:sz w:val="18"/>
          <w:szCs w:val="18"/>
          <w:lang w:val="el-GR"/>
        </w:rPr>
        <w:t>επίπτωση στα αποτελέσματα από την κρίση λόγω</w:t>
      </w:r>
      <w:r w:rsidRPr="008B0F48">
        <w:rPr>
          <w:rFonts w:cs="Calibri"/>
          <w:sz w:val="18"/>
          <w:szCs w:val="18"/>
          <w:lang w:val="el-GR"/>
        </w:rPr>
        <w:t xml:space="preserve"> </w:t>
      </w:r>
      <w:r w:rsidRPr="00271CA9">
        <w:rPr>
          <w:rFonts w:cs="Calibri"/>
          <w:sz w:val="18"/>
          <w:szCs w:val="18"/>
        </w:rPr>
        <w:t>COVID</w:t>
      </w:r>
      <w:r w:rsidRPr="008B0F48">
        <w:rPr>
          <w:rFonts w:cs="Calibri"/>
          <w:sz w:val="18"/>
          <w:szCs w:val="18"/>
          <w:lang w:val="el-GR"/>
        </w:rPr>
        <w:t xml:space="preserve">-19 </w:t>
      </w:r>
      <w:r>
        <w:rPr>
          <w:rFonts w:cs="Calibri"/>
          <w:sz w:val="18"/>
          <w:szCs w:val="18"/>
          <w:lang w:val="el-GR"/>
        </w:rPr>
        <w:t>διαμορφώθηκε</w:t>
      </w:r>
      <w:r w:rsidRPr="008B0F48">
        <w:rPr>
          <w:rFonts w:cs="Calibri"/>
          <w:sz w:val="18"/>
          <w:szCs w:val="18"/>
          <w:lang w:val="el-GR"/>
        </w:rPr>
        <w:t xml:space="preserve"> </w:t>
      </w:r>
      <w:r>
        <w:rPr>
          <w:rFonts w:cs="Calibri"/>
          <w:sz w:val="18"/>
          <w:szCs w:val="18"/>
          <w:lang w:val="el-GR"/>
        </w:rPr>
        <w:t>σε</w:t>
      </w:r>
      <w:r w:rsidRPr="008B0F48">
        <w:rPr>
          <w:rFonts w:cs="Calibri"/>
          <w:sz w:val="18"/>
          <w:szCs w:val="18"/>
          <w:lang w:val="el-GR"/>
        </w:rPr>
        <w:t xml:space="preserve"> €370</w:t>
      </w:r>
      <w:r>
        <w:rPr>
          <w:rFonts w:cs="Calibri"/>
          <w:sz w:val="18"/>
          <w:szCs w:val="18"/>
          <w:lang w:val="el-GR"/>
        </w:rPr>
        <w:t>εκατ</w:t>
      </w:r>
      <w:r w:rsidRPr="008B0F48">
        <w:rPr>
          <w:rFonts w:cs="Calibri"/>
          <w:sz w:val="18"/>
          <w:szCs w:val="18"/>
          <w:lang w:val="el-GR"/>
        </w:rPr>
        <w:t xml:space="preserve">. </w:t>
      </w:r>
      <w:r>
        <w:rPr>
          <w:rFonts w:cs="Calibri"/>
          <w:sz w:val="18"/>
          <w:szCs w:val="18"/>
          <w:lang w:val="el-GR"/>
        </w:rPr>
        <w:t>το</w:t>
      </w:r>
      <w:r w:rsidRPr="008B0F48">
        <w:rPr>
          <w:rFonts w:cs="Calibri"/>
          <w:sz w:val="18"/>
          <w:szCs w:val="18"/>
          <w:lang w:val="el-GR"/>
        </w:rPr>
        <w:t xml:space="preserve"> </w:t>
      </w:r>
      <w:r>
        <w:rPr>
          <w:rFonts w:cs="Calibri"/>
          <w:sz w:val="18"/>
          <w:szCs w:val="18"/>
          <w:lang w:val="el-GR"/>
        </w:rPr>
        <w:t>1</w:t>
      </w:r>
      <w:r w:rsidRPr="008B0F48">
        <w:rPr>
          <w:rFonts w:cs="Calibri"/>
          <w:sz w:val="18"/>
          <w:szCs w:val="18"/>
          <w:vertAlign w:val="superscript"/>
          <w:lang w:val="el-GR"/>
        </w:rPr>
        <w:t>ο</w:t>
      </w:r>
      <w:r>
        <w:rPr>
          <w:rFonts w:cs="Calibri"/>
          <w:sz w:val="18"/>
          <w:szCs w:val="18"/>
          <w:lang w:val="el-GR"/>
        </w:rPr>
        <w:t xml:space="preserve"> τρίμηνο 2020</w:t>
      </w:r>
      <w:r w:rsidRPr="008B0F48">
        <w:rPr>
          <w:rFonts w:cs="Calibri"/>
          <w:sz w:val="18"/>
          <w:szCs w:val="18"/>
          <w:lang w:val="el-GR"/>
        </w:rPr>
        <w:t xml:space="preserve"> (</w:t>
      </w:r>
      <w:proofErr w:type="spellStart"/>
      <w:r>
        <w:rPr>
          <w:rFonts w:cs="Calibri"/>
          <w:sz w:val="18"/>
          <w:szCs w:val="18"/>
          <w:lang w:val="el-GR"/>
        </w:rPr>
        <w:t>απομειώσεις</w:t>
      </w:r>
      <w:proofErr w:type="spellEnd"/>
      <w:r>
        <w:rPr>
          <w:rFonts w:cs="Calibri"/>
          <w:sz w:val="18"/>
          <w:szCs w:val="18"/>
          <w:lang w:val="el-GR"/>
        </w:rPr>
        <w:t xml:space="preserve"> και ζημίες εμπορικών συναλλαγών</w:t>
      </w:r>
      <w:r w:rsidRPr="008B0F48">
        <w:rPr>
          <w:rFonts w:cs="Calibri"/>
          <w:sz w:val="18"/>
          <w:szCs w:val="18"/>
          <w:lang w:val="el-GR"/>
        </w:rPr>
        <w:t>)</w:t>
      </w:r>
    </w:p>
    <w:p w:rsidR="00874264" w:rsidRPr="008678EE" w:rsidRDefault="00874264" w:rsidP="00874264">
      <w:pPr>
        <w:pStyle w:val="ListParagraph"/>
        <w:numPr>
          <w:ilvl w:val="0"/>
          <w:numId w:val="15"/>
        </w:numPr>
        <w:spacing w:after="20"/>
        <w:contextualSpacing w:val="0"/>
        <w:rPr>
          <w:rFonts w:cs="Calibri"/>
          <w:sz w:val="18"/>
          <w:szCs w:val="18"/>
          <w:lang w:val="el-GR"/>
        </w:rPr>
      </w:pPr>
      <w:r>
        <w:rPr>
          <w:rFonts w:cs="Calibri"/>
          <w:sz w:val="18"/>
          <w:szCs w:val="18"/>
          <w:lang w:val="el-GR"/>
        </w:rPr>
        <w:t>Η</w:t>
      </w:r>
      <w:r w:rsidRPr="00BD7DD8">
        <w:rPr>
          <w:rFonts w:cs="Calibri"/>
          <w:sz w:val="18"/>
          <w:szCs w:val="18"/>
          <w:lang w:val="el-GR"/>
        </w:rPr>
        <w:t xml:space="preserve"> </w:t>
      </w:r>
      <w:proofErr w:type="spellStart"/>
      <w:r>
        <w:rPr>
          <w:rFonts w:cs="Calibri"/>
          <w:sz w:val="18"/>
          <w:szCs w:val="18"/>
          <w:lang w:val="el-GR"/>
        </w:rPr>
        <w:t>επικαιροποίηση</w:t>
      </w:r>
      <w:proofErr w:type="spellEnd"/>
      <w:r w:rsidRPr="00BD7DD8">
        <w:rPr>
          <w:rFonts w:cs="Calibri"/>
          <w:sz w:val="18"/>
          <w:szCs w:val="18"/>
          <w:lang w:val="el-GR"/>
        </w:rPr>
        <w:t xml:space="preserve"> </w:t>
      </w:r>
      <w:r>
        <w:rPr>
          <w:rFonts w:cs="Calibri"/>
          <w:sz w:val="18"/>
          <w:szCs w:val="18"/>
          <w:lang w:val="el-GR"/>
        </w:rPr>
        <w:t>της</w:t>
      </w:r>
      <w:r w:rsidRPr="00BD7DD8">
        <w:rPr>
          <w:rFonts w:cs="Calibri"/>
          <w:sz w:val="18"/>
          <w:szCs w:val="18"/>
          <w:lang w:val="el-GR"/>
        </w:rPr>
        <w:t xml:space="preserve"> </w:t>
      </w:r>
      <w:r>
        <w:rPr>
          <w:rFonts w:cs="Calibri"/>
          <w:sz w:val="18"/>
          <w:szCs w:val="18"/>
          <w:lang w:val="el-GR"/>
        </w:rPr>
        <w:t>πληροφόρησης</w:t>
      </w:r>
      <w:r w:rsidRPr="00BD7DD8">
        <w:rPr>
          <w:rFonts w:cs="Calibri"/>
          <w:sz w:val="18"/>
          <w:szCs w:val="18"/>
          <w:lang w:val="el-GR"/>
        </w:rPr>
        <w:t xml:space="preserve"> </w:t>
      </w:r>
      <w:r>
        <w:rPr>
          <w:rFonts w:cs="Calibri"/>
          <w:sz w:val="18"/>
          <w:szCs w:val="18"/>
          <w:lang w:val="el-GR"/>
        </w:rPr>
        <w:t>μελλοντικών</w:t>
      </w:r>
      <w:r w:rsidRPr="00BD7DD8">
        <w:rPr>
          <w:rFonts w:cs="Calibri"/>
          <w:sz w:val="18"/>
          <w:szCs w:val="18"/>
          <w:lang w:val="el-GR"/>
        </w:rPr>
        <w:t xml:space="preserve"> </w:t>
      </w:r>
      <w:r>
        <w:rPr>
          <w:rFonts w:cs="Calibri"/>
          <w:sz w:val="18"/>
          <w:szCs w:val="18"/>
          <w:lang w:val="el-GR"/>
        </w:rPr>
        <w:t>εκτιμήσεων</w:t>
      </w:r>
      <w:r w:rsidRPr="00BD7DD8">
        <w:rPr>
          <w:rFonts w:cs="Calibri"/>
          <w:sz w:val="18"/>
          <w:szCs w:val="18"/>
          <w:lang w:val="el-GR"/>
        </w:rPr>
        <w:t xml:space="preserve"> </w:t>
      </w:r>
      <w:r>
        <w:rPr>
          <w:rFonts w:cs="Calibri"/>
          <w:sz w:val="18"/>
          <w:szCs w:val="18"/>
          <w:lang w:val="el-GR"/>
        </w:rPr>
        <w:t>στο</w:t>
      </w:r>
      <w:r w:rsidRPr="00BD7DD8">
        <w:rPr>
          <w:rFonts w:cs="Calibri"/>
          <w:sz w:val="18"/>
          <w:szCs w:val="18"/>
          <w:lang w:val="el-GR"/>
        </w:rPr>
        <w:t xml:space="preserve"> </w:t>
      </w:r>
      <w:r>
        <w:rPr>
          <w:rFonts w:cs="Calibri"/>
          <w:sz w:val="18"/>
          <w:szCs w:val="18"/>
          <w:lang w:val="el-GR"/>
        </w:rPr>
        <w:t xml:space="preserve">πλαίσιο του </w:t>
      </w:r>
      <w:r w:rsidRPr="001D2745">
        <w:rPr>
          <w:rFonts w:cs="Calibri"/>
          <w:sz w:val="18"/>
          <w:szCs w:val="18"/>
          <w:lang w:val="el-GR"/>
        </w:rPr>
        <w:t>ΔΠΧΑ 9</w:t>
      </w:r>
      <w:r w:rsidRPr="00BD7DD8">
        <w:rPr>
          <w:rFonts w:cs="Calibri"/>
          <w:sz w:val="18"/>
          <w:szCs w:val="18"/>
          <w:lang w:val="el-GR"/>
        </w:rPr>
        <w:t xml:space="preserve">, </w:t>
      </w:r>
      <w:r>
        <w:rPr>
          <w:rFonts w:cs="Calibri"/>
          <w:sz w:val="18"/>
          <w:szCs w:val="18"/>
          <w:lang w:val="el-GR"/>
        </w:rPr>
        <w:t xml:space="preserve">προκειμένου να ενσωματωθούν οι αναθεωρημένες μακροοικονομικές προοπτικές, οδήγησε σε επιπρόσθετες </w:t>
      </w:r>
      <w:proofErr w:type="spellStart"/>
      <w:r>
        <w:rPr>
          <w:rFonts w:cs="Calibri"/>
          <w:sz w:val="18"/>
          <w:szCs w:val="18"/>
          <w:lang w:val="el-GR"/>
        </w:rPr>
        <w:t>απομειώσεις</w:t>
      </w:r>
      <w:proofErr w:type="spellEnd"/>
      <w:r>
        <w:rPr>
          <w:rFonts w:cs="Calibri"/>
          <w:sz w:val="18"/>
          <w:szCs w:val="18"/>
          <w:lang w:val="el-GR"/>
        </w:rPr>
        <w:t xml:space="preserve"> ύψους </w:t>
      </w:r>
      <w:r w:rsidRPr="00BD7DD8">
        <w:rPr>
          <w:rFonts w:cs="Calibri"/>
          <w:sz w:val="18"/>
          <w:szCs w:val="18"/>
          <w:lang w:val="el-GR"/>
        </w:rPr>
        <w:t>€324</w:t>
      </w:r>
      <w:r>
        <w:rPr>
          <w:rFonts w:cs="Calibri"/>
          <w:sz w:val="18"/>
          <w:szCs w:val="18"/>
          <w:lang w:val="el-GR"/>
        </w:rPr>
        <w:t>εκατ.</w:t>
      </w:r>
      <w:r w:rsidRPr="00BD7DD8">
        <w:rPr>
          <w:rFonts w:cs="Calibri"/>
          <w:sz w:val="18"/>
          <w:szCs w:val="18"/>
          <w:lang w:val="el-GR"/>
        </w:rPr>
        <w:t xml:space="preserve"> </w:t>
      </w:r>
      <w:r>
        <w:rPr>
          <w:rFonts w:cs="Calibri"/>
          <w:sz w:val="18"/>
          <w:szCs w:val="18"/>
          <w:lang w:val="el-GR"/>
        </w:rPr>
        <w:t>Η</w:t>
      </w:r>
      <w:r w:rsidRPr="00097BD8">
        <w:rPr>
          <w:rFonts w:cs="Calibri"/>
          <w:sz w:val="18"/>
          <w:szCs w:val="18"/>
          <w:lang w:val="el-GR"/>
        </w:rPr>
        <w:t xml:space="preserve"> </w:t>
      </w:r>
      <w:r>
        <w:rPr>
          <w:rFonts w:cs="Calibri"/>
          <w:sz w:val="18"/>
          <w:szCs w:val="18"/>
          <w:lang w:val="el-GR"/>
        </w:rPr>
        <w:t>επίδραση</w:t>
      </w:r>
      <w:r w:rsidRPr="00097BD8">
        <w:rPr>
          <w:rFonts w:cs="Calibri"/>
          <w:sz w:val="18"/>
          <w:szCs w:val="18"/>
          <w:lang w:val="el-GR"/>
        </w:rPr>
        <w:t xml:space="preserve"> </w:t>
      </w:r>
      <w:r>
        <w:rPr>
          <w:rFonts w:cs="Calibri"/>
          <w:sz w:val="18"/>
          <w:szCs w:val="18"/>
          <w:lang w:val="el-GR"/>
        </w:rPr>
        <w:t>αντανακλάται</w:t>
      </w:r>
      <w:r w:rsidRPr="00097BD8">
        <w:rPr>
          <w:rFonts w:cs="Calibri"/>
          <w:sz w:val="18"/>
          <w:szCs w:val="18"/>
          <w:lang w:val="el-GR"/>
        </w:rPr>
        <w:t xml:space="preserve"> </w:t>
      </w:r>
      <w:r>
        <w:rPr>
          <w:rFonts w:cs="Calibri"/>
          <w:sz w:val="18"/>
          <w:szCs w:val="18"/>
          <w:lang w:val="el-GR"/>
        </w:rPr>
        <w:t>πλήρως</w:t>
      </w:r>
      <w:r w:rsidRPr="00097BD8">
        <w:rPr>
          <w:rFonts w:cs="Calibri"/>
          <w:sz w:val="18"/>
          <w:szCs w:val="18"/>
          <w:lang w:val="el-GR"/>
        </w:rPr>
        <w:t xml:space="preserve"> </w:t>
      </w:r>
      <w:r>
        <w:rPr>
          <w:rFonts w:cs="Calibri"/>
          <w:sz w:val="18"/>
          <w:szCs w:val="18"/>
          <w:lang w:val="el-GR"/>
        </w:rPr>
        <w:t>στα</w:t>
      </w:r>
      <w:r w:rsidRPr="00097BD8">
        <w:rPr>
          <w:rFonts w:cs="Calibri"/>
          <w:sz w:val="18"/>
          <w:szCs w:val="18"/>
          <w:lang w:val="el-GR"/>
        </w:rPr>
        <w:t xml:space="preserve"> </w:t>
      </w:r>
      <w:r>
        <w:rPr>
          <w:rFonts w:cs="Calibri"/>
          <w:sz w:val="18"/>
          <w:szCs w:val="18"/>
          <w:lang w:val="el-GR"/>
        </w:rPr>
        <w:t>αποτελέσματα</w:t>
      </w:r>
      <w:r w:rsidRPr="00097BD8">
        <w:rPr>
          <w:rFonts w:cs="Calibri"/>
          <w:sz w:val="18"/>
          <w:szCs w:val="18"/>
          <w:lang w:val="el-GR"/>
        </w:rPr>
        <w:t xml:space="preserve"> </w:t>
      </w:r>
      <w:r>
        <w:rPr>
          <w:rFonts w:cs="Calibri"/>
          <w:sz w:val="18"/>
          <w:szCs w:val="18"/>
          <w:lang w:val="el-GR"/>
        </w:rPr>
        <w:t>του</w:t>
      </w:r>
      <w:r w:rsidRPr="00097BD8">
        <w:rPr>
          <w:rFonts w:cs="Calibri"/>
          <w:sz w:val="18"/>
          <w:szCs w:val="18"/>
          <w:lang w:val="el-GR"/>
        </w:rPr>
        <w:t xml:space="preserve"> 1</w:t>
      </w:r>
      <w:r w:rsidRPr="00BD7DD8">
        <w:rPr>
          <w:rFonts w:cs="Calibri"/>
          <w:sz w:val="18"/>
          <w:szCs w:val="18"/>
          <w:vertAlign w:val="superscript"/>
          <w:lang w:val="el-GR"/>
        </w:rPr>
        <w:t>ου</w:t>
      </w:r>
      <w:r w:rsidRPr="00097BD8">
        <w:rPr>
          <w:rFonts w:cs="Calibri"/>
          <w:sz w:val="18"/>
          <w:szCs w:val="18"/>
          <w:lang w:val="el-GR"/>
        </w:rPr>
        <w:t xml:space="preserve"> </w:t>
      </w:r>
      <w:r>
        <w:rPr>
          <w:rFonts w:cs="Calibri"/>
          <w:sz w:val="18"/>
          <w:szCs w:val="18"/>
          <w:lang w:val="el-GR"/>
        </w:rPr>
        <w:t>τριμήνου</w:t>
      </w:r>
      <w:r w:rsidRPr="00097BD8">
        <w:rPr>
          <w:rFonts w:cs="Calibri"/>
          <w:sz w:val="18"/>
          <w:szCs w:val="18"/>
          <w:lang w:val="el-GR"/>
        </w:rPr>
        <w:t xml:space="preserve"> 2020. </w:t>
      </w:r>
      <w:r>
        <w:rPr>
          <w:rFonts w:cs="Calibri"/>
          <w:sz w:val="18"/>
          <w:szCs w:val="18"/>
          <w:lang w:val="el-GR"/>
        </w:rPr>
        <w:t>Συνέπεια των ως άνω, τα αποτελέσματα του 1</w:t>
      </w:r>
      <w:r w:rsidRPr="00335F78">
        <w:rPr>
          <w:rFonts w:cs="Calibri"/>
          <w:sz w:val="18"/>
          <w:szCs w:val="18"/>
          <w:vertAlign w:val="superscript"/>
          <w:lang w:val="el-GR"/>
        </w:rPr>
        <w:t>ου</w:t>
      </w:r>
      <w:r>
        <w:rPr>
          <w:rFonts w:cs="Calibri"/>
          <w:sz w:val="18"/>
          <w:szCs w:val="18"/>
          <w:lang w:val="el-GR"/>
        </w:rPr>
        <w:t xml:space="preserve"> τριμήνου 2020 εμφάνισαν ζημία μετά από φόρους </w:t>
      </w:r>
      <w:r w:rsidRPr="00984A74">
        <w:rPr>
          <w:rFonts w:cs="Calibri"/>
          <w:sz w:val="18"/>
          <w:szCs w:val="18"/>
          <w:lang w:val="el-GR"/>
        </w:rPr>
        <w:t>€232εκατ</w:t>
      </w:r>
      <w:r>
        <w:rPr>
          <w:rFonts w:cs="Calibri"/>
          <w:sz w:val="18"/>
          <w:szCs w:val="18"/>
          <w:lang w:val="el-GR"/>
        </w:rPr>
        <w:t>. Η</w:t>
      </w:r>
      <w:r w:rsidRPr="008678EE">
        <w:rPr>
          <w:rFonts w:cs="Calibri"/>
          <w:sz w:val="18"/>
          <w:szCs w:val="18"/>
          <w:lang w:val="el-GR"/>
        </w:rPr>
        <w:t xml:space="preserve"> </w:t>
      </w:r>
      <w:proofErr w:type="spellStart"/>
      <w:r>
        <w:rPr>
          <w:rFonts w:cs="Calibri"/>
          <w:sz w:val="18"/>
          <w:szCs w:val="18"/>
          <w:lang w:val="el-GR"/>
        </w:rPr>
        <w:t>εμπροσθοβαρής</w:t>
      </w:r>
      <w:proofErr w:type="spellEnd"/>
      <w:r w:rsidRPr="008678EE">
        <w:rPr>
          <w:rFonts w:cs="Calibri"/>
          <w:sz w:val="18"/>
          <w:szCs w:val="18"/>
          <w:lang w:val="el-GR"/>
        </w:rPr>
        <w:t xml:space="preserve"> </w:t>
      </w:r>
      <w:r>
        <w:rPr>
          <w:rFonts w:cs="Calibri"/>
          <w:sz w:val="18"/>
          <w:szCs w:val="18"/>
          <w:lang w:val="el-GR"/>
        </w:rPr>
        <w:t>αποτύπωση</w:t>
      </w:r>
      <w:r w:rsidRPr="008678EE">
        <w:rPr>
          <w:rFonts w:cs="Calibri"/>
          <w:sz w:val="18"/>
          <w:szCs w:val="18"/>
          <w:lang w:val="el-GR"/>
        </w:rPr>
        <w:t xml:space="preserve"> </w:t>
      </w:r>
      <w:r>
        <w:rPr>
          <w:rFonts w:cs="Calibri"/>
          <w:sz w:val="18"/>
          <w:szCs w:val="18"/>
          <w:lang w:val="el-GR"/>
        </w:rPr>
        <w:t>επιτρέπει</w:t>
      </w:r>
      <w:r w:rsidRPr="008678EE">
        <w:rPr>
          <w:rFonts w:cs="Calibri"/>
          <w:sz w:val="18"/>
          <w:szCs w:val="18"/>
          <w:lang w:val="el-GR"/>
        </w:rPr>
        <w:t xml:space="preserve"> </w:t>
      </w:r>
      <w:r>
        <w:rPr>
          <w:rFonts w:cs="Calibri"/>
          <w:sz w:val="18"/>
          <w:szCs w:val="18"/>
          <w:lang w:val="el-GR"/>
        </w:rPr>
        <w:t>την</w:t>
      </w:r>
      <w:r w:rsidRPr="008678EE">
        <w:rPr>
          <w:rFonts w:cs="Calibri"/>
          <w:sz w:val="18"/>
          <w:szCs w:val="18"/>
          <w:lang w:val="el-GR"/>
        </w:rPr>
        <w:t xml:space="preserve"> </w:t>
      </w:r>
      <w:r>
        <w:rPr>
          <w:rFonts w:cs="Calibri"/>
          <w:sz w:val="18"/>
          <w:szCs w:val="18"/>
          <w:lang w:val="el-GR"/>
        </w:rPr>
        <w:t>εκτέλεση</w:t>
      </w:r>
      <w:r w:rsidRPr="008678EE">
        <w:rPr>
          <w:rFonts w:cs="Calibri"/>
          <w:sz w:val="18"/>
          <w:szCs w:val="18"/>
          <w:lang w:val="el-GR"/>
        </w:rPr>
        <w:t xml:space="preserve"> </w:t>
      </w:r>
      <w:r>
        <w:rPr>
          <w:rFonts w:cs="Calibri"/>
          <w:sz w:val="18"/>
          <w:szCs w:val="18"/>
          <w:lang w:val="el-GR"/>
        </w:rPr>
        <w:t>του</w:t>
      </w:r>
      <w:r w:rsidRPr="008678EE">
        <w:rPr>
          <w:rFonts w:cs="Calibri"/>
          <w:sz w:val="18"/>
          <w:szCs w:val="18"/>
          <w:lang w:val="el-GR"/>
        </w:rPr>
        <w:t xml:space="preserve"> </w:t>
      </w:r>
      <w:r>
        <w:rPr>
          <w:rFonts w:cs="Calibri"/>
          <w:sz w:val="18"/>
          <w:szCs w:val="18"/>
          <w:lang w:val="el-GR"/>
        </w:rPr>
        <w:t>προϋπολογισμού</w:t>
      </w:r>
      <w:r w:rsidRPr="008678EE">
        <w:rPr>
          <w:rFonts w:cs="Calibri"/>
          <w:sz w:val="18"/>
          <w:szCs w:val="18"/>
          <w:lang w:val="el-GR"/>
        </w:rPr>
        <w:t xml:space="preserve"> </w:t>
      </w:r>
      <w:r>
        <w:rPr>
          <w:rFonts w:cs="Calibri"/>
          <w:sz w:val="18"/>
          <w:szCs w:val="18"/>
          <w:lang w:val="el-GR"/>
        </w:rPr>
        <w:t xml:space="preserve">του 2020 στα επόμενα τρίμηνα. </w:t>
      </w:r>
      <w:r w:rsidRPr="008678EE">
        <w:rPr>
          <w:rFonts w:cs="Calibri"/>
          <w:sz w:val="18"/>
          <w:szCs w:val="18"/>
          <w:lang w:val="el-GR"/>
        </w:rPr>
        <w:t xml:space="preserve"> </w:t>
      </w:r>
    </w:p>
    <w:p w:rsidR="00742184" w:rsidRPr="00BA4F8C" w:rsidRDefault="00742184" w:rsidP="003B441D">
      <w:pPr>
        <w:pStyle w:val="ListParagraph"/>
        <w:spacing w:after="20"/>
        <w:ind w:left="578"/>
        <w:contextualSpacing w:val="0"/>
        <w:rPr>
          <w:rFonts w:cs="Calibri"/>
          <w:color w:val="FF0000"/>
          <w:sz w:val="18"/>
          <w:szCs w:val="18"/>
          <w:lang w:val="el-GR"/>
        </w:rPr>
      </w:pPr>
    </w:p>
    <w:p w:rsidR="0066510C" w:rsidRPr="005C747D" w:rsidRDefault="0066510C" w:rsidP="0066510C">
      <w:pPr>
        <w:spacing w:after="20" w:line="240" w:lineRule="auto"/>
        <w:rPr>
          <w:rFonts w:eastAsia="Times New Roman" w:cs="Calibri"/>
          <w:b/>
          <w:color w:val="6691AB"/>
        </w:rPr>
      </w:pPr>
      <w:r>
        <w:rPr>
          <w:rFonts w:eastAsia="Times New Roman" w:cs="Calibri"/>
          <w:b/>
          <w:color w:val="6691AB"/>
        </w:rPr>
        <w:t>Κεφαλαιακή</w:t>
      </w:r>
      <w:r w:rsidRPr="005C747D">
        <w:rPr>
          <w:rFonts w:eastAsia="Times New Roman" w:cs="Calibri"/>
          <w:b/>
          <w:color w:val="6691AB"/>
        </w:rPr>
        <w:t xml:space="preserve"> </w:t>
      </w:r>
      <w:r>
        <w:rPr>
          <w:rFonts w:eastAsia="Times New Roman" w:cs="Calibri"/>
          <w:b/>
          <w:color w:val="6691AB"/>
        </w:rPr>
        <w:t>Θέση</w:t>
      </w:r>
      <w:r w:rsidRPr="005C747D">
        <w:rPr>
          <w:rFonts w:eastAsia="Times New Roman" w:cs="Calibri"/>
          <w:b/>
          <w:color w:val="6691AB"/>
        </w:rPr>
        <w:t xml:space="preserve"> &amp; </w:t>
      </w:r>
      <w:r>
        <w:rPr>
          <w:rFonts w:eastAsia="Times New Roman" w:cs="Calibri"/>
          <w:b/>
          <w:color w:val="6691AB"/>
        </w:rPr>
        <w:t>Προφίλ</w:t>
      </w:r>
      <w:r w:rsidRPr="005C747D">
        <w:rPr>
          <w:rFonts w:eastAsia="Times New Roman" w:cs="Calibri"/>
          <w:b/>
          <w:color w:val="6691AB"/>
        </w:rPr>
        <w:t xml:space="preserve"> </w:t>
      </w:r>
      <w:r>
        <w:rPr>
          <w:rFonts w:eastAsia="Times New Roman" w:cs="Calibri"/>
          <w:b/>
          <w:color w:val="6691AB"/>
        </w:rPr>
        <w:t>Ρευστότητας</w:t>
      </w:r>
      <w:r w:rsidRPr="00CC35AB">
        <w:rPr>
          <w:rFonts w:eastAsia="Times New Roman" w:cs="Calibri"/>
          <w:b/>
          <w:color w:val="6691AB"/>
        </w:rPr>
        <w:t xml:space="preserve">, </w:t>
      </w:r>
      <w:r>
        <w:rPr>
          <w:rFonts w:eastAsia="Times New Roman" w:cs="Calibri"/>
          <w:b/>
          <w:color w:val="6691AB"/>
        </w:rPr>
        <w:t>Εξελίξεις Χαρτοφυλακίου ΜΕΑ</w:t>
      </w:r>
    </w:p>
    <w:p w:rsidR="0066510C" w:rsidRPr="007F7E84" w:rsidRDefault="0066510C" w:rsidP="0066510C">
      <w:pPr>
        <w:pStyle w:val="ListParagraph"/>
        <w:numPr>
          <w:ilvl w:val="0"/>
          <w:numId w:val="15"/>
        </w:numPr>
        <w:spacing w:after="20"/>
        <w:contextualSpacing w:val="0"/>
        <w:rPr>
          <w:rFonts w:cs="Calibri"/>
          <w:color w:val="000000" w:themeColor="text1"/>
          <w:sz w:val="18"/>
          <w:szCs w:val="18"/>
          <w:lang w:val="el-GR"/>
        </w:rPr>
      </w:pPr>
      <w:r>
        <w:rPr>
          <w:rFonts w:cs="Calibri"/>
          <w:color w:val="000000" w:themeColor="text1"/>
          <w:sz w:val="18"/>
          <w:szCs w:val="18"/>
          <w:lang w:val="el-GR"/>
        </w:rPr>
        <w:t>Συνολικός</w:t>
      </w:r>
      <w:r w:rsidRPr="007F7E84">
        <w:rPr>
          <w:rFonts w:cs="Calibri"/>
          <w:color w:val="000000" w:themeColor="text1"/>
          <w:sz w:val="18"/>
          <w:szCs w:val="18"/>
          <w:lang w:val="el-GR"/>
        </w:rPr>
        <w:t xml:space="preserve"> </w:t>
      </w:r>
      <w:r>
        <w:rPr>
          <w:rFonts w:cs="Calibri"/>
          <w:color w:val="000000" w:themeColor="text1"/>
          <w:sz w:val="18"/>
          <w:szCs w:val="18"/>
          <w:lang w:val="el-GR"/>
        </w:rPr>
        <w:t>δείκτης</w:t>
      </w:r>
      <w:r w:rsidRPr="007F7E84">
        <w:rPr>
          <w:rFonts w:cs="Calibri"/>
          <w:color w:val="000000" w:themeColor="text1"/>
          <w:sz w:val="18"/>
          <w:szCs w:val="18"/>
          <w:lang w:val="el-GR"/>
        </w:rPr>
        <w:t xml:space="preserve"> </w:t>
      </w:r>
      <w:r>
        <w:rPr>
          <w:rFonts w:cs="Calibri"/>
          <w:color w:val="000000" w:themeColor="text1"/>
          <w:sz w:val="18"/>
          <w:szCs w:val="18"/>
          <w:lang w:val="el-GR"/>
        </w:rPr>
        <w:t>κεφαλαιακής</w:t>
      </w:r>
      <w:r w:rsidRPr="007F7E84">
        <w:rPr>
          <w:rFonts w:cs="Calibri"/>
          <w:color w:val="000000" w:themeColor="text1"/>
          <w:sz w:val="18"/>
          <w:szCs w:val="18"/>
          <w:lang w:val="el-GR"/>
        </w:rPr>
        <w:t xml:space="preserve"> </w:t>
      </w:r>
      <w:r>
        <w:rPr>
          <w:rFonts w:cs="Calibri"/>
          <w:color w:val="000000" w:themeColor="text1"/>
          <w:sz w:val="18"/>
          <w:szCs w:val="18"/>
          <w:lang w:val="el-GR"/>
        </w:rPr>
        <w:t xml:space="preserve">επάρκειας στο </w:t>
      </w:r>
      <w:r w:rsidRPr="007F7E84">
        <w:rPr>
          <w:rFonts w:cs="Calibri"/>
          <w:color w:val="000000" w:themeColor="text1"/>
          <w:sz w:val="18"/>
          <w:szCs w:val="18"/>
          <w:lang w:val="el-GR"/>
        </w:rPr>
        <w:t>15</w:t>
      </w:r>
      <w:r>
        <w:rPr>
          <w:rFonts w:cs="Calibri"/>
          <w:color w:val="000000" w:themeColor="text1"/>
          <w:sz w:val="18"/>
          <w:szCs w:val="18"/>
          <w:lang w:val="el-GR"/>
        </w:rPr>
        <w:t>,</w:t>
      </w:r>
      <w:r w:rsidRPr="007F7E84">
        <w:rPr>
          <w:rFonts w:cs="Calibri"/>
          <w:color w:val="000000" w:themeColor="text1"/>
          <w:sz w:val="18"/>
          <w:szCs w:val="18"/>
          <w:lang w:val="el-GR"/>
        </w:rPr>
        <w:t xml:space="preserve">2%, </w:t>
      </w:r>
      <w:r>
        <w:rPr>
          <w:rFonts w:cs="Calibri"/>
          <w:color w:val="000000" w:themeColor="text1"/>
          <w:sz w:val="18"/>
          <w:szCs w:val="18"/>
          <w:lang w:val="el-GR"/>
        </w:rPr>
        <w:t xml:space="preserve">δείκτης </w:t>
      </w:r>
      <w:r w:rsidRPr="00271CA9">
        <w:rPr>
          <w:rFonts w:cs="Calibri"/>
          <w:color w:val="000000" w:themeColor="text1"/>
          <w:sz w:val="18"/>
          <w:szCs w:val="18"/>
        </w:rPr>
        <w:t>CET</w:t>
      </w:r>
      <w:r w:rsidRPr="007F7E84">
        <w:rPr>
          <w:rFonts w:cs="Calibri"/>
          <w:color w:val="000000" w:themeColor="text1"/>
          <w:sz w:val="18"/>
          <w:szCs w:val="18"/>
          <w:lang w:val="el-GR"/>
        </w:rPr>
        <w:t xml:space="preserve">-1 </w:t>
      </w:r>
      <w:r>
        <w:rPr>
          <w:rFonts w:cs="Calibri"/>
          <w:color w:val="000000" w:themeColor="text1"/>
          <w:sz w:val="18"/>
          <w:szCs w:val="18"/>
          <w:lang w:val="el-GR"/>
        </w:rPr>
        <w:t xml:space="preserve">στο </w:t>
      </w:r>
      <w:r w:rsidRPr="007F7E84">
        <w:rPr>
          <w:rFonts w:cstheme="minorHAnsi"/>
          <w:color w:val="000000" w:themeColor="text1"/>
          <w:sz w:val="18"/>
          <w:szCs w:val="18"/>
          <w:lang w:val="el-GR"/>
        </w:rPr>
        <w:t>13</w:t>
      </w:r>
      <w:r>
        <w:rPr>
          <w:rFonts w:cstheme="minorHAnsi"/>
          <w:color w:val="000000" w:themeColor="text1"/>
          <w:sz w:val="18"/>
          <w:szCs w:val="18"/>
          <w:lang w:val="el-GR"/>
        </w:rPr>
        <w:t>,</w:t>
      </w:r>
      <w:r w:rsidRPr="007F7E84">
        <w:rPr>
          <w:rFonts w:cstheme="minorHAnsi"/>
          <w:color w:val="000000" w:themeColor="text1"/>
          <w:sz w:val="18"/>
          <w:szCs w:val="18"/>
          <w:lang w:val="el-GR"/>
        </w:rPr>
        <w:t>2</w:t>
      </w:r>
      <w:r w:rsidRPr="007F7E84">
        <w:rPr>
          <w:rFonts w:cs="Calibri"/>
          <w:color w:val="000000" w:themeColor="text1"/>
          <w:sz w:val="18"/>
          <w:szCs w:val="18"/>
          <w:lang w:val="el-GR"/>
        </w:rPr>
        <w:t xml:space="preserve">%, </w:t>
      </w:r>
      <w:r w:rsidRPr="00271CA9">
        <w:rPr>
          <w:rFonts w:cs="Calibri"/>
          <w:color w:val="000000" w:themeColor="text1"/>
          <w:sz w:val="18"/>
          <w:szCs w:val="18"/>
          <w:lang w:val="en-GB"/>
        </w:rPr>
        <w:t>pro</w:t>
      </w:r>
      <w:r w:rsidRPr="007F7E84">
        <w:rPr>
          <w:rFonts w:cs="Calibri"/>
          <w:color w:val="000000" w:themeColor="text1"/>
          <w:sz w:val="18"/>
          <w:szCs w:val="18"/>
          <w:lang w:val="el-GR"/>
        </w:rPr>
        <w:t>-</w:t>
      </w:r>
      <w:r w:rsidRPr="00271CA9">
        <w:rPr>
          <w:rFonts w:cs="Calibri"/>
          <w:color w:val="000000" w:themeColor="text1"/>
          <w:sz w:val="18"/>
          <w:szCs w:val="18"/>
          <w:lang w:val="en-GB"/>
        </w:rPr>
        <w:t>forma</w:t>
      </w:r>
      <w:r w:rsidRPr="007F7E84">
        <w:rPr>
          <w:rFonts w:cs="Calibri"/>
          <w:color w:val="000000" w:themeColor="text1"/>
          <w:sz w:val="18"/>
          <w:szCs w:val="18"/>
          <w:lang w:val="el-GR"/>
        </w:rPr>
        <w:t xml:space="preserve"> </w:t>
      </w:r>
      <w:r>
        <w:rPr>
          <w:rFonts w:cs="Calibri"/>
          <w:color w:val="000000" w:themeColor="text1"/>
          <w:sz w:val="18"/>
          <w:szCs w:val="18"/>
          <w:lang w:val="el-GR"/>
        </w:rPr>
        <w:t>για τις πωλήσεις χαρτοφυλακίων Μη Εξυπηρετούμενων Ανοιγμάτων (ΜΕΑ)</w:t>
      </w:r>
    </w:p>
    <w:p w:rsidR="0066510C" w:rsidRPr="006F3AFE" w:rsidRDefault="0066510C" w:rsidP="0066510C">
      <w:pPr>
        <w:pStyle w:val="ListParagraph"/>
        <w:numPr>
          <w:ilvl w:val="0"/>
          <w:numId w:val="15"/>
        </w:numPr>
        <w:spacing w:after="20"/>
        <w:contextualSpacing w:val="0"/>
        <w:rPr>
          <w:rFonts w:cs="Calibri"/>
          <w:color w:val="000000" w:themeColor="text1"/>
          <w:sz w:val="18"/>
          <w:szCs w:val="18"/>
          <w:lang w:val="el-GR"/>
        </w:rPr>
      </w:pPr>
      <w:r>
        <w:rPr>
          <w:rFonts w:cs="Calibri"/>
          <w:color w:val="000000" w:themeColor="text1"/>
          <w:sz w:val="18"/>
          <w:szCs w:val="18"/>
          <w:lang w:val="el-GR"/>
        </w:rPr>
        <w:t>Κεφαλαιακό</w:t>
      </w:r>
      <w:r w:rsidRPr="006F3AFE">
        <w:rPr>
          <w:rFonts w:cs="Calibri"/>
          <w:color w:val="000000" w:themeColor="text1"/>
          <w:sz w:val="18"/>
          <w:szCs w:val="18"/>
          <w:lang w:val="el-GR"/>
        </w:rPr>
        <w:t xml:space="preserve"> </w:t>
      </w:r>
      <w:r>
        <w:rPr>
          <w:rFonts w:cs="Calibri"/>
          <w:color w:val="000000" w:themeColor="text1"/>
          <w:sz w:val="18"/>
          <w:szCs w:val="18"/>
          <w:lang w:val="el-GR"/>
        </w:rPr>
        <w:t>απόθεμα</w:t>
      </w:r>
      <w:r w:rsidRPr="006F3AFE">
        <w:rPr>
          <w:rFonts w:cs="Calibri"/>
          <w:color w:val="000000" w:themeColor="text1"/>
          <w:sz w:val="18"/>
          <w:szCs w:val="18"/>
          <w:lang w:val="el-GR"/>
        </w:rPr>
        <w:t xml:space="preserve"> 3,4 </w:t>
      </w:r>
      <w:r>
        <w:rPr>
          <w:rFonts w:cs="Calibri"/>
          <w:color w:val="000000" w:themeColor="text1"/>
          <w:sz w:val="18"/>
          <w:szCs w:val="18"/>
          <w:lang w:val="el-GR"/>
        </w:rPr>
        <w:t>ποσοστιαίων μονάδων πάνω</w:t>
      </w:r>
      <w:r w:rsidRPr="006F3AFE">
        <w:rPr>
          <w:rFonts w:cs="Calibri"/>
          <w:color w:val="000000" w:themeColor="text1"/>
          <w:sz w:val="18"/>
          <w:szCs w:val="18"/>
          <w:lang w:val="el-GR"/>
        </w:rPr>
        <w:t xml:space="preserve"> </w:t>
      </w:r>
      <w:r>
        <w:rPr>
          <w:rFonts w:cs="Calibri"/>
          <w:color w:val="000000" w:themeColor="text1"/>
          <w:sz w:val="18"/>
          <w:szCs w:val="18"/>
          <w:lang w:val="el-GR"/>
        </w:rPr>
        <w:t>από</w:t>
      </w:r>
      <w:r w:rsidRPr="006F3AFE">
        <w:rPr>
          <w:rFonts w:cs="Calibri"/>
          <w:color w:val="000000" w:themeColor="text1"/>
          <w:sz w:val="18"/>
          <w:szCs w:val="18"/>
          <w:lang w:val="el-GR"/>
        </w:rPr>
        <w:t xml:space="preserve"> </w:t>
      </w:r>
      <w:r>
        <w:rPr>
          <w:rFonts w:cs="Calibri"/>
          <w:color w:val="000000" w:themeColor="text1"/>
          <w:sz w:val="18"/>
          <w:szCs w:val="18"/>
          <w:lang w:val="el-GR"/>
        </w:rPr>
        <w:t>τις</w:t>
      </w:r>
      <w:r w:rsidRPr="006F3AFE">
        <w:rPr>
          <w:rFonts w:cs="Calibri"/>
          <w:color w:val="000000" w:themeColor="text1"/>
          <w:sz w:val="18"/>
          <w:szCs w:val="18"/>
          <w:lang w:val="el-GR"/>
        </w:rPr>
        <w:t xml:space="preserve"> </w:t>
      </w:r>
      <w:proofErr w:type="spellStart"/>
      <w:r>
        <w:rPr>
          <w:rFonts w:cs="Calibri"/>
          <w:color w:val="000000" w:themeColor="text1"/>
          <w:sz w:val="18"/>
          <w:szCs w:val="18"/>
          <w:lang w:val="el-GR"/>
        </w:rPr>
        <w:t>κεφαλαικές</w:t>
      </w:r>
      <w:proofErr w:type="spellEnd"/>
      <w:r>
        <w:rPr>
          <w:rFonts w:cs="Calibri"/>
          <w:color w:val="000000" w:themeColor="text1"/>
          <w:sz w:val="18"/>
          <w:szCs w:val="18"/>
          <w:lang w:val="el-GR"/>
        </w:rPr>
        <w:t xml:space="preserve"> απαιτήσεις</w:t>
      </w:r>
    </w:p>
    <w:p w:rsidR="0066510C" w:rsidRPr="001300D3" w:rsidRDefault="0066510C" w:rsidP="0066510C">
      <w:pPr>
        <w:pStyle w:val="ListParagraph"/>
        <w:numPr>
          <w:ilvl w:val="0"/>
          <w:numId w:val="15"/>
        </w:numPr>
        <w:spacing w:after="20"/>
        <w:contextualSpacing w:val="0"/>
        <w:rPr>
          <w:rFonts w:cs="Calibri"/>
          <w:sz w:val="18"/>
          <w:szCs w:val="18"/>
          <w:lang w:val="el-GR"/>
        </w:rPr>
      </w:pPr>
      <w:r w:rsidRPr="001300D3">
        <w:rPr>
          <w:rFonts w:cs="Calibri"/>
          <w:sz w:val="18"/>
          <w:szCs w:val="18"/>
          <w:lang w:val="el-GR"/>
        </w:rPr>
        <w:t xml:space="preserve">Γρήγορη αξιοποίηση των πηγών χρηματοδότησης της ΕΚΤ, </w:t>
      </w:r>
      <w:r>
        <w:rPr>
          <w:rFonts w:cs="Calibri"/>
          <w:sz w:val="18"/>
          <w:szCs w:val="18"/>
          <w:lang w:val="el-GR"/>
        </w:rPr>
        <w:t xml:space="preserve">με χρήση </w:t>
      </w:r>
      <w:r>
        <w:rPr>
          <w:rFonts w:cs="Calibri"/>
          <w:sz w:val="18"/>
          <w:szCs w:val="18"/>
        </w:rPr>
        <w:t>LTRO</w:t>
      </w:r>
      <w:r w:rsidRPr="001300D3">
        <w:rPr>
          <w:rFonts w:cs="Calibri"/>
          <w:sz w:val="18"/>
          <w:szCs w:val="18"/>
          <w:lang w:val="el-GR"/>
        </w:rPr>
        <w:t xml:space="preserve"> </w:t>
      </w:r>
      <w:r>
        <w:rPr>
          <w:rFonts w:cs="Calibri"/>
          <w:sz w:val="18"/>
          <w:szCs w:val="18"/>
          <w:lang w:val="el-GR"/>
        </w:rPr>
        <w:t xml:space="preserve">ύψους </w:t>
      </w:r>
      <w:r w:rsidRPr="001300D3">
        <w:rPr>
          <w:rFonts w:cs="Calibri"/>
          <w:sz w:val="18"/>
          <w:szCs w:val="18"/>
          <w:lang w:val="el-GR"/>
        </w:rPr>
        <w:t>€4</w:t>
      </w:r>
      <w:r>
        <w:rPr>
          <w:rFonts w:cs="Calibri"/>
          <w:sz w:val="18"/>
          <w:szCs w:val="18"/>
          <w:lang w:val="el-GR"/>
        </w:rPr>
        <w:t>δισ.</w:t>
      </w:r>
    </w:p>
    <w:p w:rsidR="0066510C" w:rsidRPr="002F1F42" w:rsidRDefault="0066510C" w:rsidP="0066510C">
      <w:pPr>
        <w:pStyle w:val="ListParagraph"/>
        <w:numPr>
          <w:ilvl w:val="0"/>
          <w:numId w:val="15"/>
        </w:numPr>
        <w:spacing w:after="20"/>
        <w:contextualSpacing w:val="0"/>
        <w:rPr>
          <w:rFonts w:cs="Calibri"/>
          <w:color w:val="000000" w:themeColor="text1"/>
          <w:sz w:val="18"/>
          <w:szCs w:val="18"/>
          <w:lang w:val="el-GR"/>
        </w:rPr>
      </w:pPr>
      <w:r w:rsidRPr="008D2070">
        <w:rPr>
          <w:rFonts w:cs="Calibri"/>
          <w:sz w:val="18"/>
          <w:szCs w:val="18"/>
          <w:lang w:val="el-GR"/>
        </w:rPr>
        <w:t>Δείκτης</w:t>
      </w:r>
      <w:r w:rsidRPr="002F1F42">
        <w:rPr>
          <w:rFonts w:cs="Calibri"/>
          <w:sz w:val="18"/>
          <w:szCs w:val="18"/>
          <w:lang w:val="el-GR"/>
        </w:rPr>
        <w:t xml:space="preserve"> </w:t>
      </w:r>
      <w:r>
        <w:rPr>
          <w:rFonts w:cs="Calibri"/>
          <w:sz w:val="18"/>
          <w:szCs w:val="18"/>
          <w:lang w:val="el-GR"/>
        </w:rPr>
        <w:t>κ</w:t>
      </w:r>
      <w:r w:rsidRPr="008D2070">
        <w:rPr>
          <w:rFonts w:cs="Calibri"/>
          <w:sz w:val="18"/>
          <w:szCs w:val="18"/>
          <w:lang w:val="el-GR"/>
        </w:rPr>
        <w:t>άλυψης</w:t>
      </w:r>
      <w:r w:rsidRPr="002F1F42">
        <w:rPr>
          <w:rFonts w:cs="Calibri"/>
          <w:sz w:val="18"/>
          <w:szCs w:val="18"/>
          <w:lang w:val="el-GR"/>
        </w:rPr>
        <w:t xml:space="preserve"> </w:t>
      </w:r>
      <w:r>
        <w:rPr>
          <w:rFonts w:cs="Calibri"/>
          <w:sz w:val="18"/>
          <w:szCs w:val="18"/>
          <w:lang w:val="el-GR"/>
        </w:rPr>
        <w:t>ρ</w:t>
      </w:r>
      <w:r w:rsidRPr="008D2070">
        <w:rPr>
          <w:rFonts w:cs="Calibri"/>
          <w:sz w:val="18"/>
          <w:szCs w:val="18"/>
          <w:lang w:val="el-GR"/>
        </w:rPr>
        <w:t>ευστότητας</w:t>
      </w:r>
      <w:r w:rsidRPr="002F1F42">
        <w:rPr>
          <w:rFonts w:cs="Calibri"/>
          <w:sz w:val="18"/>
          <w:szCs w:val="18"/>
          <w:lang w:val="el-GR"/>
        </w:rPr>
        <w:t xml:space="preserve"> </w:t>
      </w:r>
      <w:r w:rsidRPr="002F1F42">
        <w:rPr>
          <w:rFonts w:cs="Calibri"/>
          <w:color w:val="000000" w:themeColor="text1"/>
          <w:sz w:val="18"/>
          <w:szCs w:val="18"/>
          <w:lang w:val="el-GR"/>
        </w:rPr>
        <w:t xml:space="preserve">131%, </w:t>
      </w:r>
      <w:r>
        <w:rPr>
          <w:rFonts w:cs="Calibri"/>
          <w:color w:val="000000" w:themeColor="text1"/>
          <w:sz w:val="18"/>
          <w:szCs w:val="18"/>
          <w:lang w:val="el-GR"/>
        </w:rPr>
        <w:t>δ</w:t>
      </w:r>
      <w:r w:rsidRPr="008D2070">
        <w:rPr>
          <w:rFonts w:cs="Calibri"/>
          <w:sz w:val="18"/>
          <w:szCs w:val="18"/>
          <w:lang w:val="el-GR"/>
        </w:rPr>
        <w:t xml:space="preserve">είκτης δανείων προς καταθέσεις </w:t>
      </w:r>
      <w:r w:rsidRPr="002F1F42">
        <w:rPr>
          <w:rFonts w:cs="Calibri"/>
          <w:color w:val="000000" w:themeColor="text1"/>
          <w:sz w:val="18"/>
          <w:szCs w:val="18"/>
          <w:lang w:val="el-GR"/>
        </w:rPr>
        <w:t>81%</w:t>
      </w:r>
    </w:p>
    <w:p w:rsidR="0066510C" w:rsidRPr="002F1F42" w:rsidRDefault="0066510C" w:rsidP="0066510C">
      <w:pPr>
        <w:pStyle w:val="ListParagraph"/>
        <w:numPr>
          <w:ilvl w:val="0"/>
          <w:numId w:val="15"/>
        </w:numPr>
        <w:spacing w:after="20"/>
        <w:contextualSpacing w:val="0"/>
        <w:rPr>
          <w:rFonts w:cs="Calibri"/>
          <w:color w:val="000000" w:themeColor="text1"/>
          <w:sz w:val="18"/>
          <w:szCs w:val="18"/>
          <w:lang w:val="el-GR"/>
        </w:rPr>
      </w:pPr>
      <w:r>
        <w:rPr>
          <w:rFonts w:cs="Calibri"/>
          <w:color w:val="000000" w:themeColor="text1"/>
          <w:sz w:val="18"/>
          <w:szCs w:val="18"/>
          <w:lang w:val="el-GR"/>
        </w:rPr>
        <w:t>Περιορισμένες εισροές ΜΕΑ το 1</w:t>
      </w:r>
      <w:r w:rsidRPr="002F1F42">
        <w:rPr>
          <w:rFonts w:cs="Calibri"/>
          <w:color w:val="000000" w:themeColor="text1"/>
          <w:sz w:val="18"/>
          <w:szCs w:val="18"/>
          <w:vertAlign w:val="superscript"/>
          <w:lang w:val="el-GR"/>
        </w:rPr>
        <w:t>ο</w:t>
      </w:r>
      <w:r>
        <w:rPr>
          <w:rFonts w:cs="Calibri"/>
          <w:color w:val="000000" w:themeColor="text1"/>
          <w:sz w:val="18"/>
          <w:szCs w:val="18"/>
          <w:lang w:val="el-GR"/>
        </w:rPr>
        <w:t xml:space="preserve"> τρίμηνο 2020</w:t>
      </w:r>
    </w:p>
    <w:p w:rsidR="0066510C" w:rsidRPr="00223DBC" w:rsidRDefault="0066510C" w:rsidP="0066510C">
      <w:pPr>
        <w:pStyle w:val="ListParagraph"/>
        <w:numPr>
          <w:ilvl w:val="0"/>
          <w:numId w:val="15"/>
        </w:numPr>
        <w:spacing w:after="20"/>
        <w:contextualSpacing w:val="0"/>
        <w:rPr>
          <w:rFonts w:cs="Calibri"/>
          <w:color w:val="000000" w:themeColor="text1"/>
          <w:sz w:val="18"/>
          <w:szCs w:val="18"/>
          <w:lang w:val="el-GR"/>
        </w:rPr>
      </w:pPr>
      <w:proofErr w:type="spellStart"/>
      <w:r w:rsidRPr="00223DBC">
        <w:rPr>
          <w:rFonts w:cs="Calibri"/>
          <w:color w:val="000000" w:themeColor="text1"/>
          <w:sz w:val="18"/>
          <w:szCs w:val="18"/>
          <w:lang w:val="el-GR"/>
        </w:rPr>
        <w:t>Ληφθείσα</w:t>
      </w:r>
      <w:proofErr w:type="spellEnd"/>
      <w:r w:rsidRPr="00223DBC">
        <w:rPr>
          <w:rFonts w:cs="Calibri"/>
          <w:color w:val="000000" w:themeColor="text1"/>
          <w:sz w:val="18"/>
          <w:szCs w:val="18"/>
          <w:lang w:val="el-GR"/>
        </w:rPr>
        <w:t xml:space="preserve"> προσφορά για την πώληση €0,6δισ χαρτοφυλακίου μη εξυπηρετούμενων δανείων Iris.  Υπογραφή για την πώληση €0,1δισ μη εξυπηρετούμενων δανείων 1ου </w:t>
      </w:r>
      <w:proofErr w:type="spellStart"/>
      <w:r w:rsidRPr="00223DBC">
        <w:rPr>
          <w:rFonts w:cs="Calibri"/>
          <w:color w:val="000000" w:themeColor="text1"/>
          <w:sz w:val="18"/>
          <w:szCs w:val="18"/>
          <w:lang w:val="el-GR"/>
        </w:rPr>
        <w:t>tranche</w:t>
      </w:r>
      <w:proofErr w:type="spellEnd"/>
      <w:r w:rsidRPr="00223DBC">
        <w:rPr>
          <w:rFonts w:cs="Calibri"/>
          <w:color w:val="000000" w:themeColor="text1"/>
          <w:sz w:val="18"/>
          <w:szCs w:val="18"/>
          <w:lang w:val="el-GR"/>
        </w:rPr>
        <w:t xml:space="preserve"> </w:t>
      </w:r>
      <w:proofErr w:type="spellStart"/>
      <w:r w:rsidRPr="00223DBC">
        <w:rPr>
          <w:rFonts w:cs="Calibri"/>
          <w:color w:val="000000" w:themeColor="text1"/>
          <w:sz w:val="18"/>
          <w:szCs w:val="18"/>
          <w:lang w:val="el-GR"/>
        </w:rPr>
        <w:t>Trinity</w:t>
      </w:r>
      <w:proofErr w:type="spellEnd"/>
      <w:r w:rsidRPr="00223DBC">
        <w:rPr>
          <w:rFonts w:cs="Calibri"/>
          <w:color w:val="000000" w:themeColor="text1"/>
          <w:sz w:val="18"/>
          <w:szCs w:val="18"/>
          <w:lang w:val="el-GR"/>
        </w:rPr>
        <w:t xml:space="preserve">. Ολοκλήρωση πώλησης Forthnet δανειακού χαρτοφυλακίου στην BC </w:t>
      </w:r>
      <w:proofErr w:type="spellStart"/>
      <w:r w:rsidRPr="00223DBC">
        <w:rPr>
          <w:rFonts w:cs="Calibri"/>
          <w:color w:val="000000" w:themeColor="text1"/>
          <w:sz w:val="18"/>
          <w:szCs w:val="18"/>
          <w:lang w:val="el-GR"/>
        </w:rPr>
        <w:t>Partners-owned</w:t>
      </w:r>
      <w:proofErr w:type="spellEnd"/>
      <w:r w:rsidRPr="00223DBC">
        <w:rPr>
          <w:rFonts w:cs="Calibri"/>
          <w:color w:val="000000" w:themeColor="text1"/>
          <w:sz w:val="18"/>
          <w:szCs w:val="18"/>
          <w:lang w:val="el-GR"/>
        </w:rPr>
        <w:t xml:space="preserve"> United Group</w:t>
      </w:r>
    </w:p>
    <w:p w:rsidR="0066510C" w:rsidRDefault="0066510C" w:rsidP="0066510C">
      <w:pPr>
        <w:pStyle w:val="ListParagraph"/>
        <w:numPr>
          <w:ilvl w:val="0"/>
          <w:numId w:val="15"/>
        </w:numPr>
        <w:spacing w:after="20"/>
        <w:contextualSpacing w:val="0"/>
        <w:rPr>
          <w:rFonts w:cs="Calibri"/>
          <w:color w:val="000000" w:themeColor="text1"/>
          <w:sz w:val="18"/>
          <w:szCs w:val="18"/>
          <w:lang w:val="el-GR"/>
        </w:rPr>
      </w:pPr>
      <w:r>
        <w:rPr>
          <w:rFonts w:cs="Calibri"/>
          <w:color w:val="000000" w:themeColor="text1"/>
          <w:sz w:val="18"/>
          <w:szCs w:val="18"/>
          <w:lang w:val="el-GR"/>
        </w:rPr>
        <w:t>Εντατική προετοιμασία</w:t>
      </w:r>
      <w:r w:rsidRPr="00AA6737">
        <w:rPr>
          <w:rFonts w:cs="Calibri"/>
          <w:color w:val="000000" w:themeColor="text1"/>
          <w:sz w:val="18"/>
          <w:szCs w:val="18"/>
          <w:lang w:val="el-GR"/>
        </w:rPr>
        <w:t xml:space="preserve"> </w:t>
      </w:r>
      <w:r>
        <w:rPr>
          <w:rFonts w:cs="Calibri"/>
          <w:color w:val="000000" w:themeColor="text1"/>
          <w:sz w:val="18"/>
          <w:szCs w:val="18"/>
          <w:lang w:val="el-GR"/>
        </w:rPr>
        <w:t>για</w:t>
      </w:r>
      <w:r w:rsidRPr="00AA6737">
        <w:rPr>
          <w:rFonts w:cs="Calibri"/>
          <w:color w:val="000000" w:themeColor="text1"/>
          <w:sz w:val="18"/>
          <w:szCs w:val="18"/>
          <w:lang w:val="el-GR"/>
        </w:rPr>
        <w:t xml:space="preserve"> </w:t>
      </w:r>
      <w:r>
        <w:rPr>
          <w:rFonts w:cs="Calibri"/>
          <w:color w:val="000000" w:themeColor="text1"/>
          <w:sz w:val="18"/>
          <w:szCs w:val="18"/>
          <w:lang w:val="el-GR"/>
        </w:rPr>
        <w:t>τις</w:t>
      </w:r>
      <w:r w:rsidRPr="00AA6737">
        <w:rPr>
          <w:rFonts w:cs="Calibri"/>
          <w:color w:val="000000" w:themeColor="text1"/>
          <w:sz w:val="18"/>
          <w:szCs w:val="18"/>
          <w:lang w:val="el-GR"/>
        </w:rPr>
        <w:t xml:space="preserve"> </w:t>
      </w:r>
      <w:proofErr w:type="spellStart"/>
      <w:r>
        <w:rPr>
          <w:rFonts w:cs="Calibri"/>
          <w:color w:val="000000" w:themeColor="text1"/>
          <w:sz w:val="18"/>
          <w:szCs w:val="18"/>
          <w:lang w:val="el-GR"/>
        </w:rPr>
        <w:t>τιτλοποιήσεις</w:t>
      </w:r>
      <w:proofErr w:type="spellEnd"/>
      <w:r>
        <w:rPr>
          <w:rFonts w:cs="Calibri"/>
          <w:color w:val="000000" w:themeColor="text1"/>
          <w:sz w:val="18"/>
          <w:szCs w:val="18"/>
          <w:lang w:val="el-GR"/>
        </w:rPr>
        <w:t xml:space="preserve"> ΜΕΑ </w:t>
      </w:r>
      <w:r>
        <w:rPr>
          <w:rFonts w:cs="Calibri"/>
          <w:color w:val="000000" w:themeColor="text1"/>
          <w:sz w:val="18"/>
          <w:szCs w:val="18"/>
          <w:lang w:val="en-GB"/>
        </w:rPr>
        <w:t>Phoenix</w:t>
      </w:r>
      <w:r w:rsidRPr="00AA6737">
        <w:rPr>
          <w:rFonts w:cs="Calibri"/>
          <w:color w:val="000000" w:themeColor="text1"/>
          <w:sz w:val="18"/>
          <w:szCs w:val="18"/>
          <w:lang w:val="el-GR"/>
        </w:rPr>
        <w:t xml:space="preserve"> </w:t>
      </w:r>
      <w:r>
        <w:rPr>
          <w:rFonts w:cs="Calibri"/>
          <w:color w:val="000000" w:themeColor="text1"/>
          <w:sz w:val="18"/>
          <w:szCs w:val="18"/>
          <w:lang w:val="el-GR"/>
        </w:rPr>
        <w:t xml:space="preserve">και </w:t>
      </w:r>
      <w:r>
        <w:rPr>
          <w:rFonts w:cs="Calibri"/>
          <w:color w:val="000000" w:themeColor="text1"/>
          <w:sz w:val="18"/>
          <w:szCs w:val="18"/>
          <w:lang w:val="en-GB"/>
        </w:rPr>
        <w:t>Vega</w:t>
      </w:r>
      <w:r w:rsidRPr="00AA6737">
        <w:rPr>
          <w:rFonts w:cs="Calibri"/>
          <w:color w:val="000000" w:themeColor="text1"/>
          <w:sz w:val="18"/>
          <w:szCs w:val="18"/>
          <w:lang w:val="el-GR"/>
        </w:rPr>
        <w:t xml:space="preserve"> </w:t>
      </w:r>
      <w:r>
        <w:rPr>
          <w:rFonts w:cs="Calibri"/>
          <w:color w:val="000000" w:themeColor="text1"/>
          <w:sz w:val="18"/>
          <w:szCs w:val="18"/>
          <w:lang w:val="el-GR"/>
        </w:rPr>
        <w:t>συνολικού ύψους €7δισ.</w:t>
      </w:r>
    </w:p>
    <w:p w:rsidR="0066510C" w:rsidRPr="00AA6737" w:rsidRDefault="0066510C" w:rsidP="0066510C">
      <w:pPr>
        <w:pStyle w:val="ListParagraph"/>
        <w:spacing w:after="20"/>
        <w:ind w:left="578"/>
        <w:contextualSpacing w:val="0"/>
        <w:rPr>
          <w:rFonts w:cs="Calibri"/>
          <w:color w:val="000000" w:themeColor="text1"/>
          <w:sz w:val="18"/>
          <w:szCs w:val="18"/>
          <w:lang w:val="el-GR"/>
        </w:rPr>
      </w:pPr>
    </w:p>
    <w:p w:rsidR="00DC0037" w:rsidRPr="008678EE" w:rsidRDefault="00DC0037" w:rsidP="008678EE">
      <w:pPr>
        <w:pStyle w:val="ListParagraph"/>
        <w:spacing w:line="264" w:lineRule="auto"/>
        <w:ind w:left="578"/>
        <w:contextualSpacing w:val="0"/>
        <w:rPr>
          <w:rFonts w:cs="Calibri"/>
          <w:sz w:val="18"/>
          <w:szCs w:val="18"/>
          <w:lang w:val="el-GR"/>
        </w:rPr>
      </w:pPr>
    </w:p>
    <w:p w:rsidR="00CF7901" w:rsidRPr="00097BD8" w:rsidRDefault="00CF7901" w:rsidP="007B0F42">
      <w:pPr>
        <w:rPr>
          <w:rFonts w:eastAsia="Times New Roman" w:cs="Calibri"/>
          <w:b/>
          <w:sz w:val="28"/>
          <w:szCs w:val="28"/>
        </w:rPr>
      </w:pPr>
      <w:r w:rsidRPr="008678EE">
        <w:rPr>
          <w:rFonts w:eastAsia="Times New Roman" w:cs="Calibri"/>
          <w:sz w:val="28"/>
          <w:szCs w:val="28"/>
        </w:rPr>
        <w:br w:type="page"/>
      </w:r>
      <w:r w:rsidR="00347A72" w:rsidRPr="00B32F2A">
        <w:rPr>
          <w:rFonts w:eastAsia="Times New Roman" w:cs="Calibri"/>
          <w:b/>
          <w:noProof/>
          <w:color w:val="003C96" w:themeColor="text2"/>
          <w:sz w:val="28"/>
          <w:szCs w:val="28"/>
          <w:lang w:val="en-GB" w:eastAsia="en-GB"/>
        </w:rPr>
        <w:lastRenderedPageBreak/>
        <mc:AlternateContent>
          <mc:Choice Requires="wps">
            <w:drawing>
              <wp:anchor distT="0" distB="0" distL="114300" distR="114300" simplePos="0" relativeHeight="251729920" behindDoc="1" locked="0" layoutInCell="1" allowOverlap="1" wp14:anchorId="54C17143" wp14:editId="1C230496">
                <wp:simplePos x="0" y="0"/>
                <wp:positionH relativeFrom="page">
                  <wp:align>left</wp:align>
                </wp:positionH>
                <wp:positionV relativeFrom="paragraph">
                  <wp:posOffset>488950</wp:posOffset>
                </wp:positionV>
                <wp:extent cx="7040880" cy="7807325"/>
                <wp:effectExtent l="0" t="0" r="7620" b="3175"/>
                <wp:wrapNone/>
                <wp:docPr id="49"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0880" cy="7807325"/>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12" w:rsidRDefault="009B7A12" w:rsidP="00A62B08">
                            <w:pPr>
                              <w:spacing w:line="300" w:lineRule="exact"/>
                              <w:ind w:right="-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7143" id="_x0000_s1028" style="position:absolute;margin-left:0;margin-top:38.5pt;width:554.4pt;height:614.75pt;z-index:-251586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" fillcolor="#e6e6e1" stroked="f">
                <o:lock v:ext="edit" aspectratio="t"/>
                <v:textbox>
                  <w:txbxContent>
                    <w:p w:rsidR="009B7A12" w:rsidRDefault="009B7A12" w:rsidP="00A62B08">
                      <w:pPr>
                        <w:spacing w:line="300" w:lineRule="exact"/>
                        <w:ind w:right="-2"/>
                        <w:jc w:val="both"/>
                      </w:pPr>
                    </w:p>
                  </w:txbxContent>
                </v:textbox>
                <w10:wrap anchorx="page"/>
              </v:rect>
            </w:pict>
          </mc:Fallback>
        </mc:AlternateContent>
      </w:r>
      <w:r w:rsidR="00FF79F3" w:rsidRPr="00097BD8">
        <w:rPr>
          <w:rFonts w:eastAsia="Times New Roman" w:cs="Calibri"/>
          <w:b/>
          <w:color w:val="6691AB"/>
          <w:sz w:val="28"/>
          <w:szCs w:val="28"/>
        </w:rPr>
        <w:t>Δ</w:t>
      </w:r>
      <w:r w:rsidR="00FF79F3">
        <w:rPr>
          <w:rFonts w:eastAsia="Times New Roman" w:cs="Calibri"/>
          <w:b/>
          <w:color w:val="6691AB"/>
          <w:sz w:val="28"/>
          <w:szCs w:val="28"/>
        </w:rPr>
        <w:t>ήλωση</w:t>
      </w:r>
      <w:r w:rsidR="00FF79F3" w:rsidRPr="00097BD8">
        <w:rPr>
          <w:rFonts w:eastAsia="Times New Roman" w:cs="Calibri"/>
          <w:b/>
          <w:color w:val="6691AB"/>
          <w:sz w:val="28"/>
          <w:szCs w:val="28"/>
        </w:rPr>
        <w:t xml:space="preserve"> </w:t>
      </w:r>
      <w:r w:rsidR="00FF79F3">
        <w:rPr>
          <w:rFonts w:eastAsia="Times New Roman" w:cs="Calibri"/>
          <w:b/>
          <w:color w:val="6691AB"/>
          <w:sz w:val="28"/>
          <w:szCs w:val="28"/>
        </w:rPr>
        <w:t>Διοίκησης</w:t>
      </w:r>
      <w:r w:rsidR="00FF79F3" w:rsidRPr="00097BD8">
        <w:rPr>
          <w:rFonts w:eastAsia="Times New Roman" w:cs="Calibri"/>
          <w:b/>
          <w:color w:val="6691AB"/>
          <w:sz w:val="28"/>
          <w:szCs w:val="28"/>
        </w:rPr>
        <w:t xml:space="preserve"> </w:t>
      </w:r>
      <w:r w:rsidRPr="00097BD8">
        <w:rPr>
          <w:rFonts w:eastAsia="Times New Roman" w:cs="Calibri"/>
          <w:b/>
          <w:noProof/>
          <w:color w:val="003C96" w:themeColor="text2"/>
          <w:sz w:val="28"/>
          <w:szCs w:val="28"/>
          <w:lang w:eastAsia="el-GR"/>
        </w:rPr>
        <w:t xml:space="preserve"> </w:t>
      </w:r>
    </w:p>
    <w:p w:rsidR="00B413BA" w:rsidRPr="00097BD8" w:rsidRDefault="00B413BA" w:rsidP="008609A9">
      <w:pPr>
        <w:spacing w:after="120" w:line="260" w:lineRule="exact"/>
        <w:jc w:val="both"/>
        <w:rPr>
          <w:rFonts w:ascii="Calibri" w:hAnsi="Calibri" w:cs="Calibri"/>
          <w:i/>
          <w:color w:val="000000"/>
          <w:sz w:val="18"/>
          <w:szCs w:val="18"/>
        </w:rPr>
      </w:pPr>
    </w:p>
    <w:p w:rsidR="00B64D54" w:rsidRPr="00D02B02" w:rsidRDefault="00B64D54" w:rsidP="00D02B02">
      <w:pPr>
        <w:spacing w:after="80" w:line="240" w:lineRule="auto"/>
        <w:jc w:val="both"/>
        <w:rPr>
          <w:i/>
          <w:iCs/>
          <w:color w:val="FF0000"/>
          <w:sz w:val="18"/>
          <w:szCs w:val="17"/>
        </w:rPr>
      </w:pPr>
      <w:r w:rsidRPr="00D02B02">
        <w:rPr>
          <w:i/>
          <w:iCs/>
          <w:sz w:val="18"/>
          <w:szCs w:val="17"/>
        </w:rPr>
        <w:t xml:space="preserve">«Τους τελευταίους τρεις μήνες, βιώσαμε πρωτοφανείς εξελίξεις σε παγκόσμια κλίμακα ως αποτέλεσμα της πανδημίας </w:t>
      </w:r>
      <w:r w:rsidRPr="00D02B02">
        <w:rPr>
          <w:i/>
          <w:iCs/>
          <w:sz w:val="18"/>
          <w:szCs w:val="17"/>
          <w:lang w:val="en-GB"/>
        </w:rPr>
        <w:t>C</w:t>
      </w:r>
      <w:r w:rsidR="006E72BD" w:rsidRPr="00D02B02">
        <w:rPr>
          <w:i/>
          <w:iCs/>
          <w:sz w:val="18"/>
          <w:szCs w:val="17"/>
          <w:lang w:val="en-US"/>
        </w:rPr>
        <w:t>OVID</w:t>
      </w:r>
      <w:r w:rsidRPr="00D02B02">
        <w:rPr>
          <w:i/>
          <w:iCs/>
          <w:sz w:val="18"/>
          <w:szCs w:val="17"/>
        </w:rPr>
        <w:t xml:space="preserve">-19 και του </w:t>
      </w:r>
      <w:r w:rsidRPr="00D02B02">
        <w:rPr>
          <w:i/>
          <w:iCs/>
          <w:sz w:val="18"/>
          <w:szCs w:val="17"/>
          <w:lang w:val="en-GB"/>
        </w:rPr>
        <w:t>lockdown</w:t>
      </w:r>
      <w:r w:rsidRPr="00D02B02">
        <w:rPr>
          <w:i/>
          <w:iCs/>
          <w:sz w:val="18"/>
          <w:szCs w:val="17"/>
        </w:rPr>
        <w:t xml:space="preserve"> που επιβλ</w:t>
      </w:r>
      <w:r w:rsidR="009C7A3A">
        <w:rPr>
          <w:i/>
          <w:iCs/>
          <w:sz w:val="18"/>
          <w:szCs w:val="17"/>
        </w:rPr>
        <w:t xml:space="preserve">ήθηκε σχεδόν σε κάθε οικονομία. </w:t>
      </w:r>
      <w:r w:rsidRPr="00D02B02">
        <w:rPr>
          <w:i/>
          <w:iCs/>
          <w:sz w:val="18"/>
          <w:szCs w:val="17"/>
        </w:rPr>
        <w:t xml:space="preserve">Η Ελλάδα δεν αποτέλεσε εξαίρεση. </w:t>
      </w:r>
      <w:r w:rsidR="004E34AE" w:rsidRPr="00D02B02">
        <w:rPr>
          <w:i/>
          <w:iCs/>
          <w:sz w:val="18"/>
          <w:szCs w:val="17"/>
        </w:rPr>
        <w:t>Η χώρα μας κ</w:t>
      </w:r>
      <w:r w:rsidRPr="00D02B02">
        <w:rPr>
          <w:i/>
          <w:iCs/>
          <w:sz w:val="18"/>
          <w:szCs w:val="17"/>
        </w:rPr>
        <w:t>ατ</w:t>
      </w:r>
      <w:r w:rsidR="004E34AE" w:rsidRPr="00D02B02">
        <w:rPr>
          <w:i/>
          <w:iCs/>
          <w:sz w:val="18"/>
          <w:szCs w:val="17"/>
        </w:rPr>
        <w:t>ά</w:t>
      </w:r>
      <w:r w:rsidRPr="00D02B02">
        <w:rPr>
          <w:i/>
          <w:iCs/>
          <w:sz w:val="18"/>
          <w:szCs w:val="17"/>
        </w:rPr>
        <w:t>φ</w:t>
      </w:r>
      <w:r w:rsidR="004E34AE" w:rsidRPr="00D02B02">
        <w:rPr>
          <w:i/>
          <w:iCs/>
          <w:sz w:val="18"/>
          <w:szCs w:val="17"/>
        </w:rPr>
        <w:t>ερε</w:t>
      </w:r>
      <w:r w:rsidRPr="00D02B02">
        <w:rPr>
          <w:i/>
          <w:iCs/>
          <w:sz w:val="18"/>
          <w:szCs w:val="17"/>
        </w:rPr>
        <w:t xml:space="preserve"> να αντιμετωπίσ</w:t>
      </w:r>
      <w:r w:rsidR="004E34AE" w:rsidRPr="00D02B02">
        <w:rPr>
          <w:i/>
          <w:iCs/>
          <w:sz w:val="18"/>
          <w:szCs w:val="17"/>
        </w:rPr>
        <w:t>ει</w:t>
      </w:r>
      <w:r w:rsidRPr="00D02B02">
        <w:rPr>
          <w:i/>
          <w:iCs/>
          <w:sz w:val="18"/>
          <w:szCs w:val="17"/>
        </w:rPr>
        <w:t xml:space="preserve"> το </w:t>
      </w:r>
      <w:r w:rsidR="00230800" w:rsidRPr="00D02B02">
        <w:rPr>
          <w:i/>
          <w:iCs/>
          <w:sz w:val="18"/>
          <w:szCs w:val="17"/>
        </w:rPr>
        <w:t xml:space="preserve">υγειονομικό </w:t>
      </w:r>
      <w:r w:rsidRPr="00D02B02">
        <w:rPr>
          <w:i/>
          <w:iCs/>
          <w:sz w:val="18"/>
          <w:szCs w:val="17"/>
        </w:rPr>
        <w:t>θέμα</w:t>
      </w:r>
      <w:r w:rsidR="00230800" w:rsidRPr="00D02B02">
        <w:rPr>
          <w:i/>
          <w:iCs/>
          <w:sz w:val="18"/>
          <w:szCs w:val="17"/>
        </w:rPr>
        <w:t xml:space="preserve"> με </w:t>
      </w:r>
      <w:r w:rsidR="00A638E7">
        <w:rPr>
          <w:i/>
          <w:iCs/>
          <w:sz w:val="18"/>
          <w:szCs w:val="17"/>
        </w:rPr>
        <w:t xml:space="preserve">μεγάλη </w:t>
      </w:r>
      <w:r w:rsidR="00230800" w:rsidRPr="00D02B02">
        <w:rPr>
          <w:i/>
          <w:iCs/>
          <w:sz w:val="18"/>
          <w:szCs w:val="17"/>
        </w:rPr>
        <w:t xml:space="preserve"> </w:t>
      </w:r>
      <w:r w:rsidRPr="00D02B02">
        <w:rPr>
          <w:i/>
          <w:iCs/>
          <w:sz w:val="18"/>
          <w:szCs w:val="17"/>
        </w:rPr>
        <w:t>επιτυχία μέχρι σήμερα. Βρισκόμαστε τώρα σ</w:t>
      </w:r>
      <w:r w:rsidR="001F771F" w:rsidRPr="00D02B02">
        <w:rPr>
          <w:i/>
          <w:iCs/>
          <w:sz w:val="18"/>
          <w:szCs w:val="17"/>
        </w:rPr>
        <w:t>ε</w:t>
      </w:r>
      <w:r w:rsidRPr="00D02B02">
        <w:rPr>
          <w:i/>
          <w:iCs/>
          <w:sz w:val="18"/>
          <w:szCs w:val="17"/>
        </w:rPr>
        <w:t xml:space="preserve"> διαδικασία </w:t>
      </w:r>
      <w:r w:rsidR="001F771F" w:rsidRPr="00D02B02">
        <w:rPr>
          <w:i/>
          <w:iCs/>
          <w:sz w:val="18"/>
          <w:szCs w:val="17"/>
        </w:rPr>
        <w:t xml:space="preserve">υιοθέτησης </w:t>
      </w:r>
      <w:r w:rsidRPr="00D02B02">
        <w:rPr>
          <w:i/>
          <w:iCs/>
          <w:sz w:val="18"/>
          <w:szCs w:val="17"/>
        </w:rPr>
        <w:t xml:space="preserve">νέων τρόπων εργασίας και αλληλεπίδρασης, καθώς το </w:t>
      </w:r>
      <w:r w:rsidRPr="00D02B02">
        <w:rPr>
          <w:i/>
          <w:iCs/>
          <w:sz w:val="18"/>
          <w:szCs w:val="17"/>
          <w:lang w:val="en-GB"/>
        </w:rPr>
        <w:t>lockdown</w:t>
      </w:r>
      <w:r w:rsidRPr="00D02B02">
        <w:rPr>
          <w:i/>
          <w:iCs/>
          <w:sz w:val="18"/>
          <w:szCs w:val="17"/>
        </w:rPr>
        <w:t xml:space="preserve"> σταδιακά αίρεται.</w:t>
      </w:r>
    </w:p>
    <w:p w:rsidR="00B64D54" w:rsidRPr="00D02B02" w:rsidRDefault="00B64D54" w:rsidP="00D02B02">
      <w:pPr>
        <w:spacing w:after="80" w:line="240" w:lineRule="auto"/>
        <w:jc w:val="both"/>
        <w:rPr>
          <w:i/>
          <w:iCs/>
          <w:sz w:val="18"/>
          <w:szCs w:val="17"/>
        </w:rPr>
      </w:pPr>
      <w:r w:rsidRPr="00D02B02">
        <w:rPr>
          <w:i/>
          <w:iCs/>
          <w:sz w:val="18"/>
          <w:szCs w:val="17"/>
        </w:rPr>
        <w:t xml:space="preserve">Στην Τράπεζα Πειραιώς προτεραιότητά μας είναι η διατήρηση της ασφάλειας και της υγείας των ανθρώπων μας, </w:t>
      </w:r>
      <w:r w:rsidR="001F771F" w:rsidRPr="00D02B02">
        <w:rPr>
          <w:i/>
          <w:iCs/>
          <w:sz w:val="18"/>
          <w:szCs w:val="17"/>
        </w:rPr>
        <w:t>ενώ</w:t>
      </w:r>
      <w:r w:rsidRPr="00D02B02">
        <w:rPr>
          <w:i/>
          <w:iCs/>
          <w:sz w:val="18"/>
          <w:szCs w:val="17"/>
        </w:rPr>
        <w:t xml:space="preserve"> οι πελάτες μας είχαν όλη την υποστήριξη που χρει</w:t>
      </w:r>
      <w:r w:rsidR="001F771F" w:rsidRPr="00D02B02">
        <w:rPr>
          <w:i/>
          <w:iCs/>
          <w:sz w:val="18"/>
          <w:szCs w:val="17"/>
        </w:rPr>
        <w:t xml:space="preserve">άζονταν </w:t>
      </w:r>
      <w:r w:rsidRPr="00D02B02">
        <w:rPr>
          <w:i/>
          <w:iCs/>
          <w:sz w:val="18"/>
          <w:szCs w:val="17"/>
        </w:rPr>
        <w:t>προκειμένου να ξεπεράσουν αυτ</w:t>
      </w:r>
      <w:r w:rsidR="001F771F" w:rsidRPr="00D02B02">
        <w:rPr>
          <w:i/>
          <w:iCs/>
          <w:sz w:val="18"/>
          <w:szCs w:val="17"/>
        </w:rPr>
        <w:t xml:space="preserve">ή την πρώτη φάση </w:t>
      </w:r>
      <w:r w:rsidR="00A638E7">
        <w:rPr>
          <w:i/>
          <w:iCs/>
          <w:sz w:val="18"/>
          <w:szCs w:val="17"/>
        </w:rPr>
        <w:t>συνεπειών</w:t>
      </w:r>
      <w:r w:rsidRPr="00D02B02">
        <w:rPr>
          <w:i/>
          <w:iCs/>
          <w:sz w:val="18"/>
          <w:szCs w:val="17"/>
        </w:rPr>
        <w:t>. Η υποστήριξη προς τους πελάτες αποδεικνύεται</w:t>
      </w:r>
      <w:r w:rsidR="00F7747E" w:rsidRPr="00D02B02">
        <w:rPr>
          <w:i/>
          <w:iCs/>
          <w:sz w:val="18"/>
          <w:szCs w:val="17"/>
        </w:rPr>
        <w:t xml:space="preserve"> έμπρακτα</w:t>
      </w:r>
      <w:r w:rsidRPr="00D02B02">
        <w:rPr>
          <w:i/>
          <w:iCs/>
          <w:sz w:val="18"/>
          <w:szCs w:val="17"/>
        </w:rPr>
        <w:t xml:space="preserve"> από την Τράπεζα</w:t>
      </w:r>
      <w:r w:rsidR="00F7747E" w:rsidRPr="00D02B02">
        <w:rPr>
          <w:i/>
          <w:iCs/>
          <w:sz w:val="18"/>
          <w:szCs w:val="17"/>
        </w:rPr>
        <w:t xml:space="preserve">, η οποία </w:t>
      </w:r>
      <w:r w:rsidRPr="00D02B02">
        <w:rPr>
          <w:i/>
          <w:iCs/>
          <w:sz w:val="18"/>
          <w:szCs w:val="17"/>
        </w:rPr>
        <w:t>διατ</w:t>
      </w:r>
      <w:r w:rsidR="00F7747E" w:rsidRPr="00D02B02">
        <w:rPr>
          <w:i/>
          <w:iCs/>
          <w:sz w:val="18"/>
          <w:szCs w:val="17"/>
        </w:rPr>
        <w:t>ήρησε</w:t>
      </w:r>
      <w:r w:rsidRPr="00D02B02">
        <w:rPr>
          <w:i/>
          <w:iCs/>
          <w:sz w:val="18"/>
          <w:szCs w:val="17"/>
        </w:rPr>
        <w:t xml:space="preserve"> όλες τις λειτουργίες </w:t>
      </w:r>
      <w:r w:rsidR="00F7747E" w:rsidRPr="00D02B02">
        <w:rPr>
          <w:i/>
          <w:iCs/>
          <w:sz w:val="18"/>
          <w:szCs w:val="17"/>
        </w:rPr>
        <w:t xml:space="preserve">της ανέπαφες </w:t>
      </w:r>
      <w:proofErr w:type="spellStart"/>
      <w:r w:rsidRPr="00D02B02">
        <w:rPr>
          <w:i/>
          <w:iCs/>
          <w:sz w:val="18"/>
          <w:szCs w:val="17"/>
        </w:rPr>
        <w:t>καθ΄όλη</w:t>
      </w:r>
      <w:proofErr w:type="spellEnd"/>
      <w:r w:rsidRPr="00D02B02">
        <w:rPr>
          <w:i/>
          <w:iCs/>
          <w:sz w:val="18"/>
          <w:szCs w:val="17"/>
        </w:rPr>
        <w:t xml:space="preserve"> τη διάρκεια του </w:t>
      </w:r>
      <w:r w:rsidRPr="00D02B02">
        <w:rPr>
          <w:i/>
          <w:iCs/>
          <w:sz w:val="18"/>
          <w:szCs w:val="17"/>
          <w:lang w:val="en-GB"/>
        </w:rPr>
        <w:t>lockdown</w:t>
      </w:r>
      <w:r w:rsidRPr="00D02B02">
        <w:rPr>
          <w:i/>
          <w:iCs/>
          <w:sz w:val="18"/>
          <w:szCs w:val="17"/>
        </w:rPr>
        <w:t xml:space="preserve">, αναβαθμίζοντας συνεχώς τις ψηφιακές </w:t>
      </w:r>
      <w:r w:rsidR="00F7747E" w:rsidRPr="00D02B02">
        <w:rPr>
          <w:i/>
          <w:iCs/>
          <w:sz w:val="18"/>
          <w:szCs w:val="17"/>
        </w:rPr>
        <w:t xml:space="preserve">της </w:t>
      </w:r>
      <w:r w:rsidRPr="00D02B02">
        <w:rPr>
          <w:i/>
          <w:iCs/>
          <w:sz w:val="18"/>
          <w:szCs w:val="17"/>
        </w:rPr>
        <w:t>υπηρεσίες</w:t>
      </w:r>
      <w:r w:rsidR="00F7747E" w:rsidRPr="00D02B02">
        <w:rPr>
          <w:i/>
          <w:iCs/>
          <w:sz w:val="18"/>
          <w:szCs w:val="17"/>
        </w:rPr>
        <w:t xml:space="preserve">. Παράλληλα, </w:t>
      </w:r>
      <w:r w:rsidRPr="00D02B02">
        <w:rPr>
          <w:i/>
          <w:iCs/>
          <w:sz w:val="18"/>
          <w:szCs w:val="17"/>
        </w:rPr>
        <w:t>οι νέες εκταμιεύσεις δανείων έφθασαν τα €2</w:t>
      </w:r>
      <w:r w:rsidR="008C5E1B" w:rsidRPr="00D02B02">
        <w:rPr>
          <w:i/>
          <w:iCs/>
          <w:sz w:val="18"/>
          <w:szCs w:val="17"/>
        </w:rPr>
        <w:t>,</w:t>
      </w:r>
      <w:r w:rsidRPr="00D02B02">
        <w:rPr>
          <w:i/>
          <w:iCs/>
          <w:sz w:val="18"/>
          <w:szCs w:val="17"/>
        </w:rPr>
        <w:t>2</w:t>
      </w:r>
      <w:r w:rsidR="00F7747E" w:rsidRPr="00D02B02">
        <w:rPr>
          <w:i/>
          <w:iCs/>
          <w:sz w:val="18"/>
          <w:szCs w:val="17"/>
        </w:rPr>
        <w:t>δισ</w:t>
      </w:r>
      <w:r w:rsidRPr="00D02B02">
        <w:rPr>
          <w:i/>
          <w:iCs/>
          <w:sz w:val="18"/>
          <w:szCs w:val="17"/>
        </w:rPr>
        <w:t xml:space="preserve">. </w:t>
      </w:r>
      <w:r w:rsidR="00F7747E" w:rsidRPr="00D02B02">
        <w:rPr>
          <w:i/>
          <w:iCs/>
          <w:sz w:val="18"/>
          <w:szCs w:val="17"/>
        </w:rPr>
        <w:t>κατά τη διάρκεια των πέντε π</w:t>
      </w:r>
      <w:r w:rsidRPr="00D02B02">
        <w:rPr>
          <w:i/>
          <w:iCs/>
          <w:sz w:val="18"/>
          <w:szCs w:val="17"/>
        </w:rPr>
        <w:t>ρώτ</w:t>
      </w:r>
      <w:r w:rsidR="00F7747E" w:rsidRPr="00D02B02">
        <w:rPr>
          <w:i/>
          <w:iCs/>
          <w:sz w:val="18"/>
          <w:szCs w:val="17"/>
        </w:rPr>
        <w:t>ων</w:t>
      </w:r>
      <w:r w:rsidR="008C5E1B" w:rsidRPr="00D02B02">
        <w:rPr>
          <w:i/>
          <w:iCs/>
          <w:sz w:val="18"/>
          <w:szCs w:val="17"/>
        </w:rPr>
        <w:t xml:space="preserve"> </w:t>
      </w:r>
      <w:r w:rsidRPr="00D02B02">
        <w:rPr>
          <w:i/>
          <w:iCs/>
          <w:sz w:val="18"/>
          <w:szCs w:val="17"/>
        </w:rPr>
        <w:t>μ</w:t>
      </w:r>
      <w:r w:rsidR="00F7747E" w:rsidRPr="00D02B02">
        <w:rPr>
          <w:i/>
          <w:iCs/>
          <w:sz w:val="18"/>
          <w:szCs w:val="17"/>
        </w:rPr>
        <w:t xml:space="preserve">ηνών </w:t>
      </w:r>
      <w:r w:rsidRPr="00D02B02">
        <w:rPr>
          <w:i/>
          <w:iCs/>
          <w:sz w:val="18"/>
          <w:szCs w:val="17"/>
        </w:rPr>
        <w:t>του έτους</w:t>
      </w:r>
      <w:r w:rsidR="008C5E1B" w:rsidRPr="00D02B02">
        <w:rPr>
          <w:i/>
          <w:iCs/>
          <w:sz w:val="18"/>
          <w:szCs w:val="17"/>
        </w:rPr>
        <w:t>, υπερβαίνοντας το</w:t>
      </w:r>
      <w:r w:rsidR="00F7747E" w:rsidRPr="00D02B02">
        <w:rPr>
          <w:i/>
          <w:iCs/>
          <w:sz w:val="18"/>
          <w:szCs w:val="17"/>
        </w:rPr>
        <w:t>ν</w:t>
      </w:r>
      <w:r w:rsidR="008C5E1B" w:rsidRPr="00D02B02">
        <w:rPr>
          <w:i/>
          <w:iCs/>
          <w:sz w:val="18"/>
          <w:szCs w:val="17"/>
        </w:rPr>
        <w:t xml:space="preserve"> προσδοκώμενο </w:t>
      </w:r>
      <w:proofErr w:type="spellStart"/>
      <w:r w:rsidR="008C5E1B" w:rsidRPr="00D02B02">
        <w:rPr>
          <w:i/>
          <w:iCs/>
          <w:sz w:val="18"/>
          <w:szCs w:val="17"/>
        </w:rPr>
        <w:t>ετησιοποιημένο</w:t>
      </w:r>
      <w:proofErr w:type="spellEnd"/>
      <w:r w:rsidR="008C5E1B" w:rsidRPr="00D02B02">
        <w:rPr>
          <w:i/>
          <w:iCs/>
          <w:sz w:val="18"/>
          <w:szCs w:val="17"/>
        </w:rPr>
        <w:t xml:space="preserve"> </w:t>
      </w:r>
      <w:r w:rsidR="00F7747E" w:rsidRPr="00D02B02">
        <w:rPr>
          <w:i/>
          <w:iCs/>
          <w:sz w:val="18"/>
          <w:szCs w:val="17"/>
        </w:rPr>
        <w:t>ρυθμό</w:t>
      </w:r>
      <w:r w:rsidR="008C5E1B" w:rsidRPr="00D02B02">
        <w:rPr>
          <w:i/>
          <w:iCs/>
          <w:sz w:val="18"/>
          <w:szCs w:val="17"/>
        </w:rPr>
        <w:t xml:space="preserve"> (€4,9</w:t>
      </w:r>
      <w:r w:rsidR="00F7747E" w:rsidRPr="00D02B02">
        <w:rPr>
          <w:i/>
          <w:iCs/>
          <w:sz w:val="18"/>
          <w:szCs w:val="17"/>
        </w:rPr>
        <w:t>δισ</w:t>
      </w:r>
      <w:r w:rsidR="008C5E1B" w:rsidRPr="00D02B02">
        <w:rPr>
          <w:i/>
          <w:iCs/>
          <w:sz w:val="18"/>
          <w:szCs w:val="17"/>
        </w:rPr>
        <w:t>. νέα παραγωγή δανείων για το έτος 2020)</w:t>
      </w:r>
      <w:r w:rsidRPr="00D02B02">
        <w:rPr>
          <w:i/>
          <w:iCs/>
          <w:sz w:val="18"/>
          <w:szCs w:val="17"/>
        </w:rPr>
        <w:t>.</w:t>
      </w:r>
      <w:r w:rsidR="00766A02" w:rsidRPr="00D02B02">
        <w:rPr>
          <w:i/>
          <w:iCs/>
          <w:sz w:val="18"/>
          <w:szCs w:val="17"/>
        </w:rPr>
        <w:t xml:space="preserve"> </w:t>
      </w:r>
      <w:r w:rsidRPr="00D02B02">
        <w:rPr>
          <w:i/>
          <w:iCs/>
          <w:sz w:val="18"/>
          <w:szCs w:val="17"/>
        </w:rPr>
        <w:t xml:space="preserve">Το ποσοστό συμμετοχής </w:t>
      </w:r>
      <w:r w:rsidR="00F7747E" w:rsidRPr="00D02B02">
        <w:rPr>
          <w:i/>
          <w:iCs/>
          <w:sz w:val="18"/>
          <w:szCs w:val="17"/>
        </w:rPr>
        <w:t xml:space="preserve">ύψους </w:t>
      </w:r>
      <w:r w:rsidRPr="00D02B02">
        <w:rPr>
          <w:i/>
          <w:iCs/>
          <w:sz w:val="18"/>
          <w:szCs w:val="17"/>
        </w:rPr>
        <w:t>37% που</w:t>
      </w:r>
      <w:r w:rsidR="00F7747E" w:rsidRPr="00D02B02">
        <w:rPr>
          <w:i/>
          <w:iCs/>
          <w:sz w:val="18"/>
          <w:szCs w:val="17"/>
        </w:rPr>
        <w:t xml:space="preserve"> προσέλκυσε </w:t>
      </w:r>
      <w:r w:rsidRPr="00D02B02">
        <w:rPr>
          <w:i/>
          <w:iCs/>
          <w:sz w:val="18"/>
          <w:szCs w:val="17"/>
        </w:rPr>
        <w:t xml:space="preserve">η Τράπεζα </w:t>
      </w:r>
      <w:r w:rsidR="00F7747E" w:rsidRPr="00D02B02">
        <w:rPr>
          <w:i/>
          <w:iCs/>
          <w:sz w:val="18"/>
          <w:szCs w:val="17"/>
        </w:rPr>
        <w:t xml:space="preserve">επί των συνολικών αιτήσεων συμμετοχής </w:t>
      </w:r>
      <w:r w:rsidRPr="00D02B02">
        <w:rPr>
          <w:i/>
          <w:iCs/>
          <w:sz w:val="18"/>
          <w:szCs w:val="17"/>
        </w:rPr>
        <w:t xml:space="preserve">στο πρόσφατο πρόγραμμα για νέο κεφάλαιο κίνησης με επιδότηση </w:t>
      </w:r>
      <w:r w:rsidR="00766A02" w:rsidRPr="00D02B02">
        <w:rPr>
          <w:i/>
          <w:iCs/>
          <w:sz w:val="18"/>
          <w:szCs w:val="17"/>
        </w:rPr>
        <w:t xml:space="preserve">επιτοκίου προς τις επιχειρήσεις </w:t>
      </w:r>
      <w:r w:rsidR="00F7747E" w:rsidRPr="00D02B02">
        <w:rPr>
          <w:i/>
          <w:iCs/>
          <w:sz w:val="18"/>
          <w:szCs w:val="17"/>
        </w:rPr>
        <w:t xml:space="preserve">από </w:t>
      </w:r>
      <w:r w:rsidRPr="00D02B02">
        <w:rPr>
          <w:i/>
          <w:iCs/>
          <w:sz w:val="18"/>
          <w:szCs w:val="17"/>
        </w:rPr>
        <w:t>τη</w:t>
      </w:r>
      <w:r w:rsidR="00F7747E" w:rsidRPr="00D02B02">
        <w:rPr>
          <w:i/>
          <w:iCs/>
          <w:sz w:val="18"/>
          <w:szCs w:val="17"/>
        </w:rPr>
        <w:t>ν</w:t>
      </w:r>
      <w:r w:rsidRPr="00D02B02">
        <w:rPr>
          <w:i/>
          <w:iCs/>
          <w:sz w:val="18"/>
          <w:szCs w:val="17"/>
        </w:rPr>
        <w:t xml:space="preserve"> Ελληνική Αναπτυξιακή Τράπεζα (</w:t>
      </w:r>
      <w:r w:rsidR="00F7747E" w:rsidRPr="00D02B02">
        <w:rPr>
          <w:i/>
          <w:iCs/>
          <w:sz w:val="18"/>
          <w:szCs w:val="17"/>
        </w:rPr>
        <w:t>«</w:t>
      </w:r>
      <w:r w:rsidRPr="00D02B02">
        <w:rPr>
          <w:i/>
          <w:iCs/>
          <w:sz w:val="18"/>
          <w:szCs w:val="17"/>
        </w:rPr>
        <w:t>ΤΕΠΙΧ ΙΙ</w:t>
      </w:r>
      <w:r w:rsidR="00F7747E" w:rsidRPr="00D02B02">
        <w:rPr>
          <w:i/>
          <w:iCs/>
          <w:sz w:val="18"/>
          <w:szCs w:val="17"/>
        </w:rPr>
        <w:t>»</w:t>
      </w:r>
      <w:r w:rsidRPr="00D02B02">
        <w:rPr>
          <w:i/>
          <w:iCs/>
          <w:sz w:val="18"/>
          <w:szCs w:val="17"/>
        </w:rPr>
        <w:t>) αποτελεί απόδειξη τ</w:t>
      </w:r>
      <w:r w:rsidR="00F7747E" w:rsidRPr="00D02B02">
        <w:rPr>
          <w:i/>
          <w:iCs/>
          <w:sz w:val="18"/>
          <w:szCs w:val="17"/>
        </w:rPr>
        <w:t>ης</w:t>
      </w:r>
      <w:r w:rsidRPr="00D02B02">
        <w:rPr>
          <w:i/>
          <w:iCs/>
          <w:sz w:val="18"/>
          <w:szCs w:val="17"/>
        </w:rPr>
        <w:t xml:space="preserve"> εμπορικ</w:t>
      </w:r>
      <w:r w:rsidR="00F7747E" w:rsidRPr="00D02B02">
        <w:rPr>
          <w:i/>
          <w:iCs/>
          <w:sz w:val="18"/>
          <w:szCs w:val="17"/>
        </w:rPr>
        <w:t xml:space="preserve">ής ισχύος της </w:t>
      </w:r>
      <w:r w:rsidRPr="00D02B02">
        <w:rPr>
          <w:i/>
          <w:iCs/>
          <w:sz w:val="18"/>
          <w:szCs w:val="17"/>
        </w:rPr>
        <w:t>Τράπεζα</w:t>
      </w:r>
      <w:r w:rsidR="00F7747E" w:rsidRPr="00D02B02">
        <w:rPr>
          <w:i/>
          <w:iCs/>
          <w:sz w:val="18"/>
          <w:szCs w:val="17"/>
        </w:rPr>
        <w:t>ς</w:t>
      </w:r>
      <w:r w:rsidRPr="00D02B02">
        <w:rPr>
          <w:i/>
          <w:iCs/>
          <w:sz w:val="18"/>
          <w:szCs w:val="17"/>
        </w:rPr>
        <w:t xml:space="preserve"> Πειραιώς στην Ελλάδα.</w:t>
      </w:r>
    </w:p>
    <w:p w:rsidR="00B64D54" w:rsidRPr="00D02B02" w:rsidRDefault="005F042C" w:rsidP="00D02B02">
      <w:pPr>
        <w:spacing w:after="80" w:line="240" w:lineRule="auto"/>
        <w:jc w:val="both"/>
        <w:rPr>
          <w:i/>
          <w:iCs/>
          <w:sz w:val="18"/>
          <w:szCs w:val="17"/>
        </w:rPr>
      </w:pPr>
      <w:proofErr w:type="spellStart"/>
      <w:r w:rsidRPr="00D02B02">
        <w:rPr>
          <w:i/>
          <w:iCs/>
          <w:sz w:val="18"/>
          <w:szCs w:val="17"/>
        </w:rPr>
        <w:t>Επιτύχαμε</w:t>
      </w:r>
      <w:proofErr w:type="spellEnd"/>
      <w:r w:rsidRPr="00D02B02">
        <w:rPr>
          <w:i/>
          <w:iCs/>
          <w:sz w:val="18"/>
          <w:szCs w:val="17"/>
        </w:rPr>
        <w:t xml:space="preserve"> </w:t>
      </w:r>
      <w:r w:rsidR="00B64D54" w:rsidRPr="00D02B02">
        <w:rPr>
          <w:i/>
          <w:iCs/>
          <w:sz w:val="18"/>
          <w:szCs w:val="17"/>
        </w:rPr>
        <w:t>να διατηρήσουμε τ</w:t>
      </w:r>
      <w:r w:rsidRPr="00D02B02">
        <w:rPr>
          <w:i/>
          <w:iCs/>
          <w:sz w:val="18"/>
          <w:szCs w:val="17"/>
        </w:rPr>
        <w:t xml:space="preserve">η δυναμική </w:t>
      </w:r>
      <w:r w:rsidR="00B64D54" w:rsidRPr="00D02B02">
        <w:rPr>
          <w:i/>
          <w:iCs/>
          <w:sz w:val="18"/>
          <w:szCs w:val="17"/>
        </w:rPr>
        <w:t>στις βασικές γραμμές του</w:t>
      </w:r>
      <w:r w:rsidRPr="00D02B02">
        <w:rPr>
          <w:i/>
          <w:iCs/>
          <w:sz w:val="18"/>
          <w:szCs w:val="17"/>
        </w:rPr>
        <w:t xml:space="preserve"> αποτελέσματος</w:t>
      </w:r>
      <w:r w:rsidR="00B64D54" w:rsidRPr="00D02B02">
        <w:rPr>
          <w:i/>
          <w:iCs/>
          <w:sz w:val="18"/>
          <w:szCs w:val="17"/>
        </w:rPr>
        <w:t>, σε επαναλαμβανόμενη βάση</w:t>
      </w:r>
      <w:r w:rsidR="00630181" w:rsidRPr="00D02B02">
        <w:rPr>
          <w:i/>
          <w:iCs/>
          <w:sz w:val="18"/>
          <w:szCs w:val="17"/>
        </w:rPr>
        <w:t>, κατά</w:t>
      </w:r>
      <w:r w:rsidR="00B64D54" w:rsidRPr="00D02B02">
        <w:rPr>
          <w:i/>
          <w:iCs/>
          <w:sz w:val="18"/>
          <w:szCs w:val="17"/>
        </w:rPr>
        <w:t xml:space="preserve"> το </w:t>
      </w:r>
      <w:r w:rsidR="00B922B9" w:rsidRPr="00D02B02">
        <w:rPr>
          <w:i/>
          <w:iCs/>
          <w:sz w:val="18"/>
          <w:szCs w:val="17"/>
        </w:rPr>
        <w:t>1</w:t>
      </w:r>
      <w:r w:rsidR="00B922B9" w:rsidRPr="00D02B02">
        <w:rPr>
          <w:i/>
          <w:iCs/>
          <w:sz w:val="18"/>
          <w:szCs w:val="17"/>
          <w:vertAlign w:val="superscript"/>
        </w:rPr>
        <w:t>ο</w:t>
      </w:r>
      <w:r w:rsidRPr="00D02B02">
        <w:rPr>
          <w:i/>
          <w:iCs/>
          <w:sz w:val="18"/>
          <w:szCs w:val="17"/>
        </w:rPr>
        <w:t xml:space="preserve"> </w:t>
      </w:r>
      <w:r w:rsidR="00B64D54" w:rsidRPr="00D02B02">
        <w:rPr>
          <w:i/>
          <w:iCs/>
          <w:sz w:val="18"/>
          <w:szCs w:val="17"/>
        </w:rPr>
        <w:t>τρίμηνο του 2020. Τα έσοδα προ προβλέψεων σε συγκρίσιμη βάση ανήλθαν σε €243εκατ., 14% υψηλότερα συγκρινόμενα με το 1</w:t>
      </w:r>
      <w:r w:rsidR="00B64D54" w:rsidRPr="00D02B02">
        <w:rPr>
          <w:i/>
          <w:iCs/>
          <w:sz w:val="18"/>
          <w:szCs w:val="17"/>
          <w:vertAlign w:val="superscript"/>
        </w:rPr>
        <w:t>ο</w:t>
      </w:r>
      <w:r w:rsidRPr="00D02B02">
        <w:rPr>
          <w:i/>
          <w:iCs/>
          <w:sz w:val="18"/>
          <w:szCs w:val="17"/>
        </w:rPr>
        <w:t xml:space="preserve"> </w:t>
      </w:r>
      <w:r w:rsidR="00B64D54" w:rsidRPr="00D02B02">
        <w:rPr>
          <w:i/>
          <w:iCs/>
          <w:sz w:val="18"/>
          <w:szCs w:val="17"/>
        </w:rPr>
        <w:t xml:space="preserve">τρίμηνο του 2019. Το </w:t>
      </w:r>
      <w:r w:rsidR="00CE3A8F">
        <w:rPr>
          <w:i/>
          <w:iCs/>
          <w:sz w:val="18"/>
          <w:szCs w:val="17"/>
        </w:rPr>
        <w:t xml:space="preserve">αποτέλεσμα </w:t>
      </w:r>
      <w:r w:rsidR="00B64D54" w:rsidRPr="00D02B02">
        <w:rPr>
          <w:i/>
          <w:iCs/>
          <w:sz w:val="18"/>
          <w:szCs w:val="17"/>
        </w:rPr>
        <w:t xml:space="preserve"> αυτό </w:t>
      </w:r>
      <w:r w:rsidR="00630181" w:rsidRPr="00D02B02">
        <w:rPr>
          <w:i/>
          <w:iCs/>
          <w:sz w:val="18"/>
          <w:szCs w:val="17"/>
        </w:rPr>
        <w:t>προήλθε</w:t>
      </w:r>
      <w:r w:rsidR="00B64D54" w:rsidRPr="00D02B02">
        <w:rPr>
          <w:i/>
          <w:iCs/>
          <w:sz w:val="18"/>
          <w:szCs w:val="17"/>
        </w:rPr>
        <w:t xml:space="preserve"> από τη σταθερά επαναλαμβανόμενη παραγωγή εσόδων (+3% σε </w:t>
      </w:r>
      <w:r w:rsidR="00CE3A8F">
        <w:rPr>
          <w:i/>
          <w:iCs/>
          <w:sz w:val="18"/>
          <w:szCs w:val="17"/>
        </w:rPr>
        <w:t xml:space="preserve">ετήσια βάση εξαιρουμένων των επιπτώσεων του </w:t>
      </w:r>
      <w:r w:rsidR="00CE3A8F">
        <w:rPr>
          <w:i/>
          <w:iCs/>
          <w:sz w:val="18"/>
          <w:szCs w:val="17"/>
          <w:lang w:val="en-US"/>
        </w:rPr>
        <w:t>C</w:t>
      </w:r>
      <w:r w:rsidR="00177722">
        <w:rPr>
          <w:i/>
          <w:iCs/>
          <w:sz w:val="18"/>
          <w:szCs w:val="17"/>
          <w:lang w:val="en-US"/>
        </w:rPr>
        <w:t>OVID</w:t>
      </w:r>
      <w:r w:rsidR="00CE3A8F" w:rsidRPr="00CC0D3B">
        <w:rPr>
          <w:i/>
          <w:iCs/>
          <w:sz w:val="18"/>
          <w:szCs w:val="17"/>
        </w:rPr>
        <w:t>-19</w:t>
      </w:r>
      <w:r w:rsidR="00B64D54" w:rsidRPr="00D02B02">
        <w:rPr>
          <w:i/>
          <w:iCs/>
          <w:sz w:val="18"/>
          <w:szCs w:val="17"/>
        </w:rPr>
        <w:t xml:space="preserve">), ενώ η εστίαση στη </w:t>
      </w:r>
      <w:r w:rsidR="00630181" w:rsidRPr="00D02B02">
        <w:rPr>
          <w:i/>
          <w:iCs/>
          <w:sz w:val="18"/>
          <w:szCs w:val="17"/>
        </w:rPr>
        <w:t xml:space="preserve">διαχείριση </w:t>
      </w:r>
      <w:r w:rsidR="00B64D54" w:rsidRPr="00D02B02">
        <w:rPr>
          <w:i/>
          <w:iCs/>
          <w:sz w:val="18"/>
          <w:szCs w:val="17"/>
        </w:rPr>
        <w:t>του</w:t>
      </w:r>
      <w:r w:rsidR="00630181" w:rsidRPr="00D02B02">
        <w:rPr>
          <w:i/>
          <w:iCs/>
          <w:sz w:val="18"/>
          <w:szCs w:val="17"/>
        </w:rPr>
        <w:t xml:space="preserve"> λειτουργικού </w:t>
      </w:r>
      <w:r w:rsidR="00B64D54" w:rsidRPr="00D02B02">
        <w:rPr>
          <w:i/>
          <w:iCs/>
          <w:sz w:val="18"/>
          <w:szCs w:val="17"/>
        </w:rPr>
        <w:t>κόστους συνεχίζει να αποδίδει</w:t>
      </w:r>
      <w:r w:rsidR="00630181" w:rsidRPr="00D02B02">
        <w:rPr>
          <w:i/>
          <w:iCs/>
          <w:sz w:val="18"/>
          <w:szCs w:val="17"/>
        </w:rPr>
        <w:t xml:space="preserve"> καρπούς</w:t>
      </w:r>
      <w:r w:rsidR="00B64D54" w:rsidRPr="00D02B02">
        <w:rPr>
          <w:i/>
          <w:iCs/>
          <w:sz w:val="18"/>
          <w:szCs w:val="17"/>
        </w:rPr>
        <w:t xml:space="preserve"> (-7% </w:t>
      </w:r>
      <w:r w:rsidR="00CE3A8F">
        <w:rPr>
          <w:i/>
          <w:iCs/>
          <w:sz w:val="18"/>
          <w:szCs w:val="17"/>
        </w:rPr>
        <w:t xml:space="preserve">ετησίως </w:t>
      </w:r>
      <w:r w:rsidR="00B64D54" w:rsidRPr="00D02B02">
        <w:rPr>
          <w:i/>
          <w:iCs/>
          <w:sz w:val="18"/>
          <w:szCs w:val="17"/>
        </w:rPr>
        <w:t xml:space="preserve">σε </w:t>
      </w:r>
      <w:r w:rsidR="00703D5E" w:rsidRPr="00703D5E">
        <w:rPr>
          <w:i/>
          <w:iCs/>
          <w:sz w:val="18"/>
          <w:szCs w:val="17"/>
        </w:rPr>
        <w:t>συγκρίσιμη βάση</w:t>
      </w:r>
      <w:r w:rsidR="00B64D54" w:rsidRPr="00D02B02">
        <w:rPr>
          <w:i/>
          <w:iCs/>
          <w:sz w:val="18"/>
          <w:szCs w:val="17"/>
        </w:rPr>
        <w:t>).</w:t>
      </w:r>
    </w:p>
    <w:p w:rsidR="00B64D54" w:rsidRPr="00D02B02" w:rsidRDefault="00B64D54" w:rsidP="00D02B02">
      <w:pPr>
        <w:spacing w:after="80" w:line="240" w:lineRule="auto"/>
        <w:jc w:val="both"/>
        <w:rPr>
          <w:i/>
          <w:iCs/>
          <w:sz w:val="18"/>
          <w:szCs w:val="17"/>
        </w:rPr>
      </w:pPr>
      <w:r w:rsidRPr="00D02B02">
        <w:rPr>
          <w:i/>
          <w:iCs/>
          <w:sz w:val="18"/>
          <w:szCs w:val="17"/>
        </w:rPr>
        <w:t xml:space="preserve">Παράλληλα, η </w:t>
      </w:r>
      <w:proofErr w:type="spellStart"/>
      <w:r w:rsidRPr="00D02B02">
        <w:rPr>
          <w:i/>
          <w:iCs/>
          <w:sz w:val="18"/>
          <w:szCs w:val="17"/>
        </w:rPr>
        <w:t>επικαιροποίηση</w:t>
      </w:r>
      <w:proofErr w:type="spellEnd"/>
      <w:r w:rsidRPr="00D02B02">
        <w:rPr>
          <w:i/>
          <w:iCs/>
          <w:sz w:val="18"/>
          <w:szCs w:val="17"/>
        </w:rPr>
        <w:t xml:space="preserve"> </w:t>
      </w:r>
      <w:r w:rsidR="00A0350A" w:rsidRPr="00D02B02">
        <w:rPr>
          <w:i/>
          <w:iCs/>
          <w:sz w:val="18"/>
          <w:szCs w:val="17"/>
        </w:rPr>
        <w:t>της πληροφόρησης μελλοντικών εκτιμήσεων</w:t>
      </w:r>
      <w:r w:rsidRPr="00D02B02">
        <w:rPr>
          <w:i/>
          <w:iCs/>
          <w:sz w:val="18"/>
          <w:szCs w:val="17"/>
        </w:rPr>
        <w:t xml:space="preserve">, στο πλαίσιο του ΔΠΧΑ 9, για την ενσωμάτωση </w:t>
      </w:r>
      <w:r w:rsidR="001D2745" w:rsidRPr="00D02B02">
        <w:rPr>
          <w:i/>
          <w:iCs/>
          <w:sz w:val="18"/>
          <w:szCs w:val="17"/>
        </w:rPr>
        <w:t xml:space="preserve">δυσμενέστερων από το αναμενόμενο </w:t>
      </w:r>
      <w:r w:rsidRPr="00D02B02">
        <w:rPr>
          <w:i/>
          <w:iCs/>
          <w:sz w:val="18"/>
          <w:szCs w:val="17"/>
        </w:rPr>
        <w:t xml:space="preserve">μακροοικονομικών προοπτικών, οδήγησε σε </w:t>
      </w:r>
      <w:proofErr w:type="spellStart"/>
      <w:r w:rsidRPr="00D02B02">
        <w:rPr>
          <w:i/>
          <w:iCs/>
          <w:sz w:val="18"/>
          <w:szCs w:val="17"/>
        </w:rPr>
        <w:t>απομειώσεις</w:t>
      </w:r>
      <w:proofErr w:type="spellEnd"/>
      <w:r w:rsidRPr="00D02B02">
        <w:rPr>
          <w:i/>
          <w:iCs/>
          <w:sz w:val="18"/>
          <w:szCs w:val="17"/>
        </w:rPr>
        <w:t xml:space="preserve"> ύψους €0,3δ</w:t>
      </w:r>
      <w:r w:rsidR="00630181" w:rsidRPr="00D02B02">
        <w:rPr>
          <w:i/>
          <w:iCs/>
          <w:sz w:val="18"/>
          <w:szCs w:val="17"/>
        </w:rPr>
        <w:t>ισ.</w:t>
      </w:r>
      <w:r w:rsidRPr="00D02B02">
        <w:rPr>
          <w:i/>
          <w:iCs/>
          <w:sz w:val="18"/>
          <w:szCs w:val="17"/>
        </w:rPr>
        <w:t xml:space="preserve"> το 1</w:t>
      </w:r>
      <w:r w:rsidRPr="00D02B02">
        <w:rPr>
          <w:i/>
          <w:iCs/>
          <w:sz w:val="18"/>
          <w:szCs w:val="17"/>
          <w:vertAlign w:val="superscript"/>
        </w:rPr>
        <w:t>ο</w:t>
      </w:r>
      <w:r w:rsidR="006E72BD" w:rsidRPr="00D02B02">
        <w:rPr>
          <w:i/>
          <w:iCs/>
          <w:sz w:val="18"/>
          <w:szCs w:val="17"/>
        </w:rPr>
        <w:t xml:space="preserve"> </w:t>
      </w:r>
      <w:r w:rsidRPr="00D02B02">
        <w:rPr>
          <w:i/>
          <w:iCs/>
          <w:sz w:val="18"/>
          <w:szCs w:val="17"/>
        </w:rPr>
        <w:t xml:space="preserve">τρίμηνο 2020 για την </w:t>
      </w:r>
      <w:r w:rsidR="00E71422" w:rsidRPr="00D02B02">
        <w:rPr>
          <w:i/>
          <w:iCs/>
          <w:sz w:val="18"/>
          <w:szCs w:val="17"/>
        </w:rPr>
        <w:t xml:space="preserve">Τράπεζα </w:t>
      </w:r>
      <w:r w:rsidRPr="00D02B02">
        <w:rPr>
          <w:i/>
          <w:iCs/>
          <w:sz w:val="18"/>
          <w:szCs w:val="17"/>
        </w:rPr>
        <w:t>Πειραιώς. Η επίπτωση έχει αποτυπωθεί πλήρως στα οικονομικά στοιχεία του 1</w:t>
      </w:r>
      <w:r w:rsidRPr="00D02B02">
        <w:rPr>
          <w:i/>
          <w:iCs/>
          <w:sz w:val="18"/>
          <w:szCs w:val="17"/>
          <w:vertAlign w:val="superscript"/>
        </w:rPr>
        <w:t>ου</w:t>
      </w:r>
      <w:r w:rsidR="006E72BD" w:rsidRPr="00D02B02">
        <w:rPr>
          <w:i/>
          <w:iCs/>
          <w:sz w:val="18"/>
          <w:szCs w:val="17"/>
        </w:rPr>
        <w:t xml:space="preserve"> </w:t>
      </w:r>
      <w:r w:rsidRPr="00D02B02">
        <w:rPr>
          <w:i/>
          <w:iCs/>
          <w:sz w:val="18"/>
          <w:szCs w:val="17"/>
        </w:rPr>
        <w:t xml:space="preserve">τριμήνου, με την επιφύλαξη του υψηλού επιπέδου αβεβαιότητας των εκτιμήσεων και των διαθέσιμων πληροφοριών </w:t>
      </w:r>
      <w:r w:rsidR="00E71422" w:rsidRPr="00D02B02">
        <w:rPr>
          <w:i/>
          <w:iCs/>
          <w:sz w:val="18"/>
          <w:szCs w:val="17"/>
        </w:rPr>
        <w:t xml:space="preserve">έως </w:t>
      </w:r>
      <w:r w:rsidRPr="00D02B02">
        <w:rPr>
          <w:i/>
          <w:iCs/>
          <w:sz w:val="18"/>
          <w:szCs w:val="17"/>
        </w:rPr>
        <w:t>τον Μάρτιο 2020. Η προσπάθειά μας επικεντρώνεται τώρα στην εκτέλεση του προϋπολογισμού μας για το 2020, όπως είχε αρχικά προγραμματισ</w:t>
      </w:r>
      <w:r w:rsidR="00E71422" w:rsidRPr="00D02B02">
        <w:rPr>
          <w:i/>
          <w:iCs/>
          <w:sz w:val="18"/>
          <w:szCs w:val="17"/>
        </w:rPr>
        <w:t>θ</w:t>
      </w:r>
      <w:r w:rsidRPr="00D02B02">
        <w:rPr>
          <w:i/>
          <w:iCs/>
          <w:sz w:val="18"/>
          <w:szCs w:val="17"/>
        </w:rPr>
        <w:t xml:space="preserve">εί.   </w:t>
      </w:r>
    </w:p>
    <w:p w:rsidR="00B64D54" w:rsidRPr="00D02B02" w:rsidRDefault="0057621D" w:rsidP="00D02B02">
      <w:pPr>
        <w:spacing w:after="80" w:line="240" w:lineRule="auto"/>
        <w:jc w:val="both"/>
        <w:rPr>
          <w:i/>
          <w:iCs/>
          <w:sz w:val="18"/>
          <w:szCs w:val="17"/>
        </w:rPr>
      </w:pPr>
      <w:r w:rsidRPr="00D02B02">
        <w:rPr>
          <w:i/>
          <w:iCs/>
          <w:sz w:val="18"/>
          <w:szCs w:val="17"/>
        </w:rPr>
        <w:t>Ο</w:t>
      </w:r>
      <w:r w:rsidR="00B64D54" w:rsidRPr="00D02B02">
        <w:rPr>
          <w:i/>
          <w:iCs/>
          <w:sz w:val="18"/>
          <w:szCs w:val="17"/>
        </w:rPr>
        <w:t xml:space="preserve"> δείκτης δανείων </w:t>
      </w:r>
      <w:r w:rsidRPr="00D02B02">
        <w:rPr>
          <w:i/>
          <w:iCs/>
          <w:sz w:val="18"/>
          <w:szCs w:val="17"/>
        </w:rPr>
        <w:t xml:space="preserve">μετά από προβλέψεις </w:t>
      </w:r>
      <w:r w:rsidR="00B64D54" w:rsidRPr="00D02B02">
        <w:rPr>
          <w:i/>
          <w:iCs/>
          <w:sz w:val="18"/>
          <w:szCs w:val="17"/>
        </w:rPr>
        <w:t xml:space="preserve">προς καταθέσεις βελτιώθηκε περαιτέρω στο 81% στο τέλος Μαρτίου 2020 σε σύγκριση με 88% ένα χρόνο νωρίτερα, </w:t>
      </w:r>
      <w:r w:rsidRPr="00D02B02">
        <w:rPr>
          <w:i/>
          <w:iCs/>
          <w:sz w:val="18"/>
          <w:szCs w:val="17"/>
        </w:rPr>
        <w:t xml:space="preserve">ενώ ο </w:t>
      </w:r>
      <w:r w:rsidR="00B64D54" w:rsidRPr="00D02B02">
        <w:rPr>
          <w:i/>
          <w:iCs/>
          <w:sz w:val="18"/>
          <w:szCs w:val="17"/>
        </w:rPr>
        <w:t>δείκτη</w:t>
      </w:r>
      <w:r w:rsidRPr="00D02B02">
        <w:rPr>
          <w:i/>
          <w:iCs/>
          <w:sz w:val="18"/>
          <w:szCs w:val="17"/>
        </w:rPr>
        <w:t>ς</w:t>
      </w:r>
      <w:r w:rsidR="00B64D54" w:rsidRPr="00D02B02">
        <w:rPr>
          <w:i/>
          <w:iCs/>
          <w:sz w:val="18"/>
          <w:szCs w:val="17"/>
        </w:rPr>
        <w:t xml:space="preserve"> κάλυψης ρευστότητας </w:t>
      </w:r>
      <w:r w:rsidRPr="00D02B02">
        <w:rPr>
          <w:i/>
          <w:iCs/>
          <w:sz w:val="18"/>
          <w:szCs w:val="17"/>
        </w:rPr>
        <w:t xml:space="preserve">ενισχύθηκε </w:t>
      </w:r>
      <w:r w:rsidR="00B64D54" w:rsidRPr="00D02B02">
        <w:rPr>
          <w:i/>
          <w:iCs/>
          <w:sz w:val="18"/>
          <w:szCs w:val="17"/>
        </w:rPr>
        <w:t xml:space="preserve">περαιτέρω στο 131% έναντι 67% τον Μάρτιο </w:t>
      </w:r>
      <w:r w:rsidRPr="00D02B02">
        <w:rPr>
          <w:i/>
          <w:iCs/>
          <w:sz w:val="18"/>
          <w:szCs w:val="17"/>
        </w:rPr>
        <w:t>2</w:t>
      </w:r>
      <w:r w:rsidR="00B64D54" w:rsidRPr="00D02B02">
        <w:rPr>
          <w:i/>
          <w:iCs/>
          <w:sz w:val="18"/>
          <w:szCs w:val="17"/>
        </w:rPr>
        <w:t>019, γεγονός που ση</w:t>
      </w:r>
      <w:r w:rsidR="00401B6F" w:rsidRPr="00D02B02">
        <w:rPr>
          <w:i/>
          <w:iCs/>
          <w:sz w:val="18"/>
          <w:szCs w:val="17"/>
        </w:rPr>
        <w:t xml:space="preserve">ματοδοτεί </w:t>
      </w:r>
      <w:r w:rsidR="00B64D54" w:rsidRPr="00D02B02">
        <w:rPr>
          <w:i/>
          <w:iCs/>
          <w:sz w:val="18"/>
          <w:szCs w:val="17"/>
        </w:rPr>
        <w:t xml:space="preserve">ότι η Τράπεζα μπορεί να ανταποκριθεί πλήρως στο ρόλο της, που είναι η χρηματοδότηση της ανάκαμψης της </w:t>
      </w:r>
      <w:r w:rsidR="00401B6F" w:rsidRPr="00D02B02">
        <w:rPr>
          <w:i/>
          <w:iCs/>
          <w:sz w:val="18"/>
          <w:szCs w:val="17"/>
        </w:rPr>
        <w:t>ε</w:t>
      </w:r>
      <w:r w:rsidR="00B64D54" w:rsidRPr="00D02B02">
        <w:rPr>
          <w:i/>
          <w:iCs/>
          <w:sz w:val="18"/>
          <w:szCs w:val="17"/>
        </w:rPr>
        <w:t xml:space="preserve">λληνικής οικονομίας σε αυτή την κρίσιμη συγκυρία.  </w:t>
      </w:r>
    </w:p>
    <w:p w:rsidR="00B922B9" w:rsidRPr="00D02B02" w:rsidRDefault="00B64D54" w:rsidP="00D02B02">
      <w:pPr>
        <w:spacing w:after="80" w:line="240" w:lineRule="auto"/>
        <w:jc w:val="both"/>
        <w:rPr>
          <w:i/>
          <w:iCs/>
          <w:sz w:val="18"/>
          <w:szCs w:val="17"/>
        </w:rPr>
      </w:pPr>
      <w:r w:rsidRPr="00D02B02">
        <w:rPr>
          <w:i/>
          <w:iCs/>
          <w:sz w:val="18"/>
          <w:szCs w:val="17"/>
        </w:rPr>
        <w:t xml:space="preserve">Οι τάσεις της ποιότητας </w:t>
      </w:r>
      <w:r w:rsidR="005900D0">
        <w:rPr>
          <w:i/>
          <w:iCs/>
          <w:sz w:val="18"/>
          <w:szCs w:val="17"/>
        </w:rPr>
        <w:t>ενεργητικού</w:t>
      </w:r>
      <w:r w:rsidR="00347A72">
        <w:rPr>
          <w:i/>
          <w:iCs/>
          <w:sz w:val="18"/>
          <w:szCs w:val="17"/>
        </w:rPr>
        <w:t xml:space="preserve"> </w:t>
      </w:r>
      <w:r w:rsidRPr="00D02B02">
        <w:rPr>
          <w:i/>
          <w:iCs/>
          <w:sz w:val="18"/>
          <w:szCs w:val="17"/>
        </w:rPr>
        <w:t>ήταν υποστηρικτικές το 1</w:t>
      </w:r>
      <w:r w:rsidRPr="00D02B02">
        <w:rPr>
          <w:i/>
          <w:iCs/>
          <w:sz w:val="18"/>
          <w:szCs w:val="17"/>
          <w:vertAlign w:val="superscript"/>
        </w:rPr>
        <w:t>ο</w:t>
      </w:r>
      <w:r w:rsidR="006E72BD" w:rsidRPr="00D02B02">
        <w:rPr>
          <w:i/>
          <w:iCs/>
          <w:sz w:val="18"/>
          <w:szCs w:val="17"/>
        </w:rPr>
        <w:t xml:space="preserve"> </w:t>
      </w:r>
      <w:r w:rsidRPr="00D02B02">
        <w:rPr>
          <w:i/>
          <w:iCs/>
          <w:sz w:val="18"/>
          <w:szCs w:val="17"/>
        </w:rPr>
        <w:t xml:space="preserve">τρίμηνο 2020, παρά τις δυσκολίες της αγοράς. Είναι ακόμη πολύ νωρίς για να δούμε αν οι ροές θα επιδεινωθούν μετά την άρση </w:t>
      </w:r>
      <w:r w:rsidR="00347A72">
        <w:rPr>
          <w:i/>
          <w:iCs/>
          <w:sz w:val="18"/>
          <w:szCs w:val="17"/>
        </w:rPr>
        <w:t>των προγραμμάτων αναστολής καταβολής χ</w:t>
      </w:r>
      <w:r w:rsidRPr="00D02B02">
        <w:rPr>
          <w:i/>
          <w:iCs/>
          <w:sz w:val="18"/>
          <w:szCs w:val="17"/>
        </w:rPr>
        <w:t xml:space="preserve">ρέους, ωστόσο λαμβάνουμε μέτρα προκειμένου να αντιμετωπίσουμε τυχόν πιέσεις. Ταυτόχρονα, προχωράμε με ταχείς ρυθμούς την προπαρασκευαστική φάση των </w:t>
      </w:r>
      <w:proofErr w:type="spellStart"/>
      <w:r w:rsidRPr="00D02B02">
        <w:rPr>
          <w:i/>
          <w:iCs/>
          <w:sz w:val="18"/>
          <w:szCs w:val="17"/>
        </w:rPr>
        <w:t>τιτλοποιήσεων</w:t>
      </w:r>
      <w:proofErr w:type="spellEnd"/>
      <w:r w:rsidRPr="00D02B02">
        <w:rPr>
          <w:i/>
          <w:iCs/>
          <w:sz w:val="18"/>
          <w:szCs w:val="17"/>
        </w:rPr>
        <w:t xml:space="preserve"> ΜΕΑ ύψους €7δισ. οι οποίες </w:t>
      </w:r>
      <w:r w:rsidR="008B49FB">
        <w:rPr>
          <w:i/>
          <w:iCs/>
          <w:sz w:val="18"/>
          <w:szCs w:val="17"/>
        </w:rPr>
        <w:t>–</w:t>
      </w:r>
      <w:r w:rsidRPr="00D02B02">
        <w:rPr>
          <w:i/>
          <w:iCs/>
          <w:sz w:val="18"/>
          <w:szCs w:val="17"/>
        </w:rPr>
        <w:t>σ</w:t>
      </w:r>
      <w:r w:rsidR="008B49FB">
        <w:rPr>
          <w:i/>
          <w:iCs/>
          <w:sz w:val="18"/>
          <w:szCs w:val="17"/>
        </w:rPr>
        <w:t xml:space="preserve">ύμφωνα με </w:t>
      </w:r>
      <w:r w:rsidRPr="00D02B02">
        <w:rPr>
          <w:i/>
          <w:iCs/>
          <w:sz w:val="18"/>
          <w:szCs w:val="17"/>
        </w:rPr>
        <w:t xml:space="preserve">το βασικό μας σενάριο- </w:t>
      </w:r>
      <w:r w:rsidR="008B49FB">
        <w:rPr>
          <w:i/>
          <w:iCs/>
          <w:sz w:val="18"/>
          <w:szCs w:val="17"/>
        </w:rPr>
        <w:t xml:space="preserve">προγραμματίζονται να </w:t>
      </w:r>
      <w:r w:rsidRPr="00D02B02">
        <w:rPr>
          <w:i/>
          <w:iCs/>
          <w:sz w:val="18"/>
          <w:szCs w:val="17"/>
        </w:rPr>
        <w:t xml:space="preserve">πραγματοποιηθούν </w:t>
      </w:r>
      <w:r w:rsidR="00B922B9" w:rsidRPr="00D02B02">
        <w:rPr>
          <w:i/>
          <w:iCs/>
          <w:sz w:val="18"/>
          <w:szCs w:val="17"/>
        </w:rPr>
        <w:t>εντός του 4</w:t>
      </w:r>
      <w:r w:rsidR="00B922B9" w:rsidRPr="00D02B02">
        <w:rPr>
          <w:i/>
          <w:iCs/>
          <w:sz w:val="18"/>
          <w:szCs w:val="17"/>
          <w:vertAlign w:val="superscript"/>
        </w:rPr>
        <w:t>ου</w:t>
      </w:r>
      <w:r w:rsidR="006E72BD" w:rsidRPr="00D02B02">
        <w:rPr>
          <w:i/>
          <w:iCs/>
          <w:sz w:val="18"/>
          <w:szCs w:val="17"/>
        </w:rPr>
        <w:t xml:space="preserve"> </w:t>
      </w:r>
      <w:r w:rsidR="00B922B9" w:rsidRPr="00D02B02">
        <w:rPr>
          <w:i/>
          <w:iCs/>
          <w:sz w:val="18"/>
          <w:szCs w:val="17"/>
        </w:rPr>
        <w:t>τριμήνου 2020.</w:t>
      </w:r>
    </w:p>
    <w:p w:rsidR="00B64D54" w:rsidRPr="00D02B02" w:rsidRDefault="00B64D54" w:rsidP="00D02B02">
      <w:pPr>
        <w:spacing w:after="80" w:line="240" w:lineRule="auto"/>
        <w:jc w:val="both"/>
        <w:rPr>
          <w:i/>
          <w:iCs/>
          <w:sz w:val="18"/>
          <w:szCs w:val="17"/>
        </w:rPr>
      </w:pPr>
      <w:r w:rsidRPr="00D02B02">
        <w:rPr>
          <w:i/>
          <w:iCs/>
          <w:sz w:val="18"/>
          <w:szCs w:val="17"/>
        </w:rPr>
        <w:t>Η προσπάθειά μας να ενισχύσουμε την κεφαλαιακή μας θέση συνεχίσ</w:t>
      </w:r>
      <w:r w:rsidR="00D95767">
        <w:rPr>
          <w:i/>
          <w:iCs/>
          <w:sz w:val="18"/>
          <w:szCs w:val="17"/>
        </w:rPr>
        <w:t>θ</w:t>
      </w:r>
      <w:r w:rsidRPr="00D02B02">
        <w:rPr>
          <w:i/>
          <w:iCs/>
          <w:sz w:val="18"/>
          <w:szCs w:val="17"/>
        </w:rPr>
        <w:t>ηκε το 1</w:t>
      </w:r>
      <w:r w:rsidRPr="00D02B02">
        <w:rPr>
          <w:i/>
          <w:iCs/>
          <w:sz w:val="18"/>
          <w:szCs w:val="17"/>
          <w:vertAlign w:val="superscript"/>
        </w:rPr>
        <w:t>ο</w:t>
      </w:r>
      <w:r w:rsidR="006E72BD" w:rsidRPr="00D02B02">
        <w:rPr>
          <w:i/>
          <w:iCs/>
          <w:sz w:val="18"/>
          <w:szCs w:val="17"/>
        </w:rPr>
        <w:t xml:space="preserve"> </w:t>
      </w:r>
      <w:r w:rsidR="00F13443" w:rsidRPr="00CC0D3B">
        <w:rPr>
          <w:i/>
          <w:iCs/>
          <w:sz w:val="18"/>
          <w:szCs w:val="17"/>
        </w:rPr>
        <w:t>3</w:t>
      </w:r>
      <w:r w:rsidRPr="00D02B02">
        <w:rPr>
          <w:i/>
          <w:iCs/>
          <w:sz w:val="18"/>
          <w:szCs w:val="17"/>
        </w:rPr>
        <w:t xml:space="preserve">μηνο 2020 με την επιτυχή έκδοση </w:t>
      </w:r>
      <w:r w:rsidR="00D95767">
        <w:rPr>
          <w:i/>
          <w:iCs/>
          <w:sz w:val="18"/>
          <w:szCs w:val="17"/>
        </w:rPr>
        <w:t xml:space="preserve">ομολόγου </w:t>
      </w:r>
      <w:r w:rsidRPr="00D02B02">
        <w:rPr>
          <w:i/>
          <w:iCs/>
          <w:sz w:val="18"/>
          <w:szCs w:val="17"/>
          <w:lang w:val="en-GB"/>
        </w:rPr>
        <w:t>Tier</w:t>
      </w:r>
      <w:r w:rsidRPr="00D02B02">
        <w:rPr>
          <w:i/>
          <w:iCs/>
          <w:sz w:val="18"/>
          <w:szCs w:val="17"/>
        </w:rPr>
        <w:t xml:space="preserve"> 2 ύψους €500εκατ. τον Φεβρουάριο. Στα τέλη Μαρτίου 2020</w:t>
      </w:r>
      <w:r w:rsidR="00F13443" w:rsidRPr="00F13443">
        <w:rPr>
          <w:i/>
          <w:iCs/>
          <w:sz w:val="18"/>
          <w:szCs w:val="17"/>
        </w:rPr>
        <w:t xml:space="preserve"> σε </w:t>
      </w:r>
      <w:r w:rsidR="00F13443" w:rsidRPr="00F13443">
        <w:rPr>
          <w:i/>
          <w:iCs/>
          <w:sz w:val="18"/>
          <w:szCs w:val="17"/>
          <w:lang w:val="en-US"/>
        </w:rPr>
        <w:t>pro</w:t>
      </w:r>
      <w:r w:rsidR="00F13443" w:rsidRPr="00F13443">
        <w:rPr>
          <w:i/>
          <w:iCs/>
          <w:sz w:val="18"/>
          <w:szCs w:val="17"/>
        </w:rPr>
        <w:t>-</w:t>
      </w:r>
      <w:r w:rsidR="00F13443" w:rsidRPr="00F13443">
        <w:rPr>
          <w:i/>
          <w:iCs/>
          <w:sz w:val="18"/>
          <w:szCs w:val="17"/>
          <w:lang w:val="en-US"/>
        </w:rPr>
        <w:t>forma</w:t>
      </w:r>
      <w:r w:rsidR="00F13443" w:rsidRPr="00F13443">
        <w:rPr>
          <w:i/>
          <w:iCs/>
          <w:sz w:val="18"/>
          <w:szCs w:val="17"/>
        </w:rPr>
        <w:t xml:space="preserve"> βάση</w:t>
      </w:r>
      <w:r w:rsidRPr="00D02B02">
        <w:rPr>
          <w:i/>
          <w:iCs/>
          <w:sz w:val="18"/>
          <w:szCs w:val="17"/>
        </w:rPr>
        <w:t xml:space="preserve">, ο συνολικός δείκτης κεφαλαιακής επάρκειας της Τράπεζας ήταν στο 15,2%, με τον δείκτη </w:t>
      </w:r>
      <w:r w:rsidRPr="00D02B02">
        <w:rPr>
          <w:i/>
          <w:iCs/>
          <w:sz w:val="18"/>
          <w:szCs w:val="17"/>
          <w:lang w:val="en-GB"/>
        </w:rPr>
        <w:t>CET</w:t>
      </w:r>
      <w:r w:rsidRPr="00D02B02">
        <w:rPr>
          <w:i/>
          <w:iCs/>
          <w:sz w:val="18"/>
          <w:szCs w:val="17"/>
        </w:rPr>
        <w:t>1 στο 13,2%.</w:t>
      </w:r>
    </w:p>
    <w:p w:rsidR="00B64D54" w:rsidRPr="00D02B02" w:rsidRDefault="00B922B9" w:rsidP="00D02B02">
      <w:pPr>
        <w:spacing w:after="80" w:line="240" w:lineRule="auto"/>
        <w:jc w:val="both"/>
        <w:rPr>
          <w:i/>
          <w:iCs/>
          <w:sz w:val="18"/>
          <w:szCs w:val="17"/>
        </w:rPr>
      </w:pPr>
      <w:r w:rsidRPr="00D02B02">
        <w:rPr>
          <w:i/>
          <w:iCs/>
          <w:sz w:val="18"/>
          <w:szCs w:val="17"/>
        </w:rPr>
        <w:t xml:space="preserve">Είμαστε αισιόδοξοι ότι η ελληνική κοινωνία θα αντιμετωπίσει επιτυχώς τις επιπτώσεις της πανδημίας COVID-19 και το έτος 2021 θα σηματοδοτήσει την </w:t>
      </w:r>
      <w:r w:rsidR="009C27BF">
        <w:rPr>
          <w:i/>
          <w:iCs/>
          <w:sz w:val="18"/>
          <w:szCs w:val="17"/>
        </w:rPr>
        <w:t xml:space="preserve">επαναφορά </w:t>
      </w:r>
      <w:r w:rsidR="00D95767">
        <w:rPr>
          <w:i/>
          <w:iCs/>
          <w:sz w:val="18"/>
          <w:szCs w:val="17"/>
        </w:rPr>
        <w:t xml:space="preserve">της ελληνικής οικονομίας σε ισχυρούς ρυθμούς </w:t>
      </w:r>
      <w:r w:rsidRPr="00D02B02">
        <w:rPr>
          <w:i/>
          <w:iCs/>
          <w:sz w:val="18"/>
          <w:szCs w:val="17"/>
        </w:rPr>
        <w:t xml:space="preserve">ανάπτυξης.  </w:t>
      </w:r>
    </w:p>
    <w:p w:rsidR="00B64D54" w:rsidRPr="00D02B02" w:rsidRDefault="00B64D54" w:rsidP="00D02B02">
      <w:pPr>
        <w:spacing w:after="80" w:line="240" w:lineRule="auto"/>
        <w:jc w:val="both"/>
        <w:rPr>
          <w:rFonts w:eastAsia="Times New Roman" w:cstheme="minorHAnsi"/>
          <w:sz w:val="18"/>
          <w:szCs w:val="17"/>
        </w:rPr>
      </w:pPr>
      <w:r w:rsidRPr="00D02B02">
        <w:rPr>
          <w:i/>
          <w:iCs/>
          <w:sz w:val="18"/>
          <w:szCs w:val="17"/>
        </w:rPr>
        <w:t xml:space="preserve">Η Τράπεζα Πειραιώς θα συνεχίσει την υλοποίηση του σχεδίου της, εντείνοντας τις προσπάθειές </w:t>
      </w:r>
      <w:r w:rsidR="00F7031C">
        <w:rPr>
          <w:i/>
          <w:iCs/>
          <w:sz w:val="18"/>
          <w:szCs w:val="17"/>
        </w:rPr>
        <w:t>της,</w:t>
      </w:r>
      <w:r w:rsidRPr="00D02B02">
        <w:rPr>
          <w:i/>
          <w:iCs/>
          <w:sz w:val="18"/>
          <w:szCs w:val="17"/>
        </w:rPr>
        <w:t xml:space="preserve"> στο πλαίσιο ενός νέου σχεδίου εταιρικού μετασχηματισμού που βρίσκεται τώρα στο στάδιο του σχεδιασμού. Το συγκεκριμένο σχέδιο ανοίγει το</w:t>
      </w:r>
      <w:r w:rsidR="00342AD0">
        <w:rPr>
          <w:i/>
          <w:iCs/>
          <w:sz w:val="18"/>
          <w:szCs w:val="17"/>
        </w:rPr>
        <w:t>ν</w:t>
      </w:r>
      <w:r w:rsidRPr="00D02B02">
        <w:rPr>
          <w:i/>
          <w:iCs/>
          <w:sz w:val="18"/>
          <w:szCs w:val="17"/>
        </w:rPr>
        <w:t xml:space="preserve"> δρόμο για μ</w:t>
      </w:r>
      <w:r w:rsidR="00342AD0">
        <w:rPr>
          <w:i/>
          <w:iCs/>
          <w:sz w:val="18"/>
          <w:szCs w:val="17"/>
        </w:rPr>
        <w:t>ί</w:t>
      </w:r>
      <w:r w:rsidRPr="00D02B02">
        <w:rPr>
          <w:i/>
          <w:iCs/>
          <w:sz w:val="18"/>
          <w:szCs w:val="17"/>
        </w:rPr>
        <w:t>α</w:t>
      </w:r>
      <w:r w:rsidR="00567E8C" w:rsidRPr="00567E8C">
        <w:rPr>
          <w:i/>
          <w:iCs/>
          <w:sz w:val="18"/>
          <w:szCs w:val="17"/>
        </w:rPr>
        <w:t xml:space="preserve"> </w:t>
      </w:r>
      <w:r w:rsidRPr="00D02B02">
        <w:rPr>
          <w:i/>
          <w:iCs/>
          <w:sz w:val="18"/>
          <w:szCs w:val="17"/>
        </w:rPr>
        <w:t>κερδοφόρα Τράπεζα</w:t>
      </w:r>
      <w:r w:rsidR="000F60A1" w:rsidRPr="00CC0D3B">
        <w:rPr>
          <w:i/>
          <w:iCs/>
          <w:sz w:val="18"/>
          <w:szCs w:val="17"/>
        </w:rPr>
        <w:t xml:space="preserve"> </w:t>
      </w:r>
      <w:r w:rsidR="000F60A1">
        <w:rPr>
          <w:i/>
          <w:iCs/>
          <w:sz w:val="18"/>
          <w:szCs w:val="17"/>
        </w:rPr>
        <w:t>μετά από πλήρη εξυγίανση</w:t>
      </w:r>
      <w:r w:rsidRPr="00D02B02">
        <w:rPr>
          <w:i/>
          <w:iCs/>
          <w:sz w:val="18"/>
          <w:szCs w:val="17"/>
        </w:rPr>
        <w:t xml:space="preserve">, </w:t>
      </w:r>
      <w:r w:rsidR="00F7031C">
        <w:rPr>
          <w:i/>
          <w:iCs/>
          <w:sz w:val="18"/>
          <w:szCs w:val="17"/>
        </w:rPr>
        <w:t xml:space="preserve">που θα </w:t>
      </w:r>
      <w:r w:rsidRPr="00D02B02">
        <w:rPr>
          <w:i/>
          <w:iCs/>
          <w:sz w:val="18"/>
          <w:szCs w:val="17"/>
        </w:rPr>
        <w:t>απολαμβάν</w:t>
      </w:r>
      <w:r w:rsidR="00F7031C">
        <w:rPr>
          <w:i/>
          <w:iCs/>
          <w:sz w:val="18"/>
          <w:szCs w:val="17"/>
        </w:rPr>
        <w:t>ει</w:t>
      </w:r>
      <w:r w:rsidRPr="00D02B02">
        <w:rPr>
          <w:i/>
          <w:iCs/>
          <w:sz w:val="18"/>
          <w:szCs w:val="17"/>
        </w:rPr>
        <w:t xml:space="preserve"> όλα τα στρατηγικά ανταγωνιστικά πλεο</w:t>
      </w:r>
      <w:r w:rsidR="00B922B9" w:rsidRPr="00D02B02">
        <w:rPr>
          <w:i/>
          <w:iCs/>
          <w:sz w:val="18"/>
          <w:szCs w:val="17"/>
        </w:rPr>
        <w:t>νεκτήματα που απορρέουν από την ισχυρή</w:t>
      </w:r>
      <w:r w:rsidRPr="00D02B02">
        <w:rPr>
          <w:i/>
          <w:iCs/>
          <w:sz w:val="18"/>
          <w:szCs w:val="17"/>
        </w:rPr>
        <w:t xml:space="preserve"> πελατειακή βάση </w:t>
      </w:r>
      <w:r w:rsidR="000F60A1">
        <w:rPr>
          <w:i/>
          <w:iCs/>
          <w:sz w:val="18"/>
          <w:szCs w:val="17"/>
        </w:rPr>
        <w:t xml:space="preserve">μας </w:t>
      </w:r>
      <w:r w:rsidRPr="00D02B02">
        <w:rPr>
          <w:i/>
          <w:iCs/>
          <w:sz w:val="18"/>
          <w:szCs w:val="17"/>
        </w:rPr>
        <w:t>στην Ελλάδα.»</w:t>
      </w:r>
      <w:r w:rsidR="00027255" w:rsidRPr="00D02B02">
        <w:rPr>
          <w:rFonts w:eastAsia="Times New Roman" w:cstheme="minorHAnsi"/>
          <w:sz w:val="18"/>
          <w:szCs w:val="17"/>
        </w:rPr>
        <w:t xml:space="preserve"> </w:t>
      </w:r>
      <w:r w:rsidR="00FF27C9" w:rsidRPr="00D02B02">
        <w:rPr>
          <w:rFonts w:eastAsia="Times New Roman" w:cstheme="minorHAnsi"/>
          <w:sz w:val="18"/>
          <w:szCs w:val="17"/>
        </w:rPr>
        <w:t xml:space="preserve">        </w:t>
      </w:r>
    </w:p>
    <w:p w:rsidR="007D0DAE" w:rsidRPr="00D02B02" w:rsidRDefault="00FF27C9" w:rsidP="00D02B02">
      <w:pPr>
        <w:spacing w:after="80" w:line="240" w:lineRule="auto"/>
        <w:jc w:val="right"/>
        <w:rPr>
          <w:i/>
          <w:iCs/>
          <w:sz w:val="18"/>
          <w:szCs w:val="17"/>
        </w:rPr>
      </w:pPr>
      <w:r w:rsidRPr="00D02B02">
        <w:rPr>
          <w:rFonts w:eastAsia="Times New Roman" w:cstheme="minorHAnsi"/>
          <w:sz w:val="18"/>
          <w:szCs w:val="17"/>
        </w:rPr>
        <w:t>Χρήστος Μεγάλου</w:t>
      </w:r>
      <w:r w:rsidR="007D0DAE" w:rsidRPr="00D02B02">
        <w:rPr>
          <w:rFonts w:eastAsia="Times New Roman" w:cstheme="minorHAnsi"/>
          <w:sz w:val="18"/>
          <w:szCs w:val="17"/>
          <w:lang w:val="en-US"/>
        </w:rPr>
        <w:t xml:space="preserve">, </w:t>
      </w:r>
      <w:r w:rsidRPr="00D02B02">
        <w:rPr>
          <w:rFonts w:eastAsia="Times New Roman" w:cstheme="minorHAnsi"/>
          <w:sz w:val="18"/>
          <w:szCs w:val="17"/>
        </w:rPr>
        <w:t>Διευθύνων Σύμβουλος</w:t>
      </w:r>
    </w:p>
    <w:p w:rsidR="00A43E20" w:rsidRDefault="00A43E20" w:rsidP="007A260F">
      <w:pPr>
        <w:spacing w:after="0" w:line="260" w:lineRule="exact"/>
        <w:jc w:val="right"/>
        <w:rPr>
          <w:rFonts w:eastAsia="Times New Roman" w:cstheme="minorHAnsi"/>
          <w:b/>
          <w:color w:val="003C96" w:themeColor="text2"/>
          <w:sz w:val="19"/>
          <w:szCs w:val="19"/>
          <w:lang w:val="en-US"/>
        </w:rPr>
      </w:pPr>
    </w:p>
    <w:tbl>
      <w:tblPr>
        <w:tblStyle w:val="TableGrid1"/>
        <w:tblpPr w:leftFromText="180" w:rightFromText="180" w:vertAnchor="text" w:horzAnchor="page" w:tblpX="2144" w:tblpY="45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A947F2" w:rsidRPr="00F13443" w:rsidTr="00290D73">
        <w:trPr>
          <w:trHeight w:val="475"/>
        </w:trPr>
        <w:tc>
          <w:tcPr>
            <w:tcW w:w="9214" w:type="dxa"/>
            <w:gridSpan w:val="2"/>
            <w:tcMar>
              <w:top w:w="57" w:type="dxa"/>
              <w:bottom w:w="57" w:type="dxa"/>
            </w:tcMar>
          </w:tcPr>
          <w:p w:rsidR="00A947F2" w:rsidRDefault="00A947F2" w:rsidP="00290D73">
            <w:pPr>
              <w:shd w:val="clear" w:color="auto" w:fill="FFFFFF" w:themeFill="background1"/>
              <w:tabs>
                <w:tab w:val="left" w:pos="9214"/>
              </w:tabs>
              <w:spacing w:after="40" w:line="300" w:lineRule="exact"/>
              <w:ind w:left="-709" w:right="53"/>
              <w:jc w:val="both"/>
              <w:rPr>
                <w:rFonts w:eastAsia="Times New Roman" w:cs="Calibri"/>
                <w:b/>
                <w:i/>
                <w:color w:val="6691AB"/>
                <w:sz w:val="27"/>
                <w:szCs w:val="27"/>
              </w:rPr>
            </w:pPr>
            <w:proofErr w:type="spellStart"/>
            <w:r>
              <w:rPr>
                <w:rFonts w:eastAsia="Times New Roman" w:cs="Calibri"/>
                <w:b/>
                <w:i/>
                <w:color w:val="6691AB"/>
                <w:sz w:val="27"/>
                <w:szCs w:val="27"/>
              </w:rPr>
              <w:lastRenderedPageBreak/>
              <w:t>Κύ</w:t>
            </w:r>
            <w:proofErr w:type="spellEnd"/>
            <w:r>
              <w:rPr>
                <w:rFonts w:eastAsia="Times New Roman" w:cs="Calibri"/>
                <w:b/>
                <w:i/>
                <w:color w:val="6691AB"/>
                <w:sz w:val="27"/>
                <w:szCs w:val="27"/>
              </w:rPr>
              <w:t xml:space="preserve">      Κύρια </w:t>
            </w:r>
            <w:r w:rsidRPr="00291416">
              <w:rPr>
                <w:rFonts w:eastAsia="Times New Roman" w:cs="Calibri"/>
                <w:b/>
                <w:i/>
                <w:color w:val="6691AB"/>
                <w:sz w:val="27"/>
                <w:szCs w:val="27"/>
              </w:rPr>
              <w:t xml:space="preserve">Σημεία </w:t>
            </w:r>
            <w:proofErr w:type="spellStart"/>
            <w:r w:rsidRPr="00291416">
              <w:rPr>
                <w:rFonts w:eastAsia="Times New Roman" w:cs="Calibri"/>
                <w:b/>
                <w:i/>
                <w:color w:val="6691AB"/>
                <w:sz w:val="27"/>
                <w:szCs w:val="27"/>
              </w:rPr>
              <w:t>Αποτελέσματ</w:t>
            </w:r>
            <w:r>
              <w:rPr>
                <w:rFonts w:eastAsia="Times New Roman" w:cs="Calibri"/>
                <w:b/>
                <w:i/>
                <w:color w:val="6691AB"/>
                <w:sz w:val="27"/>
                <w:szCs w:val="27"/>
              </w:rPr>
              <w:t>ων</w:t>
            </w:r>
            <w:proofErr w:type="spellEnd"/>
            <w:r w:rsidRPr="00291416">
              <w:rPr>
                <w:rFonts w:eastAsia="Times New Roman" w:cs="Calibri"/>
                <w:b/>
                <w:i/>
                <w:color w:val="6691AB"/>
                <w:sz w:val="27"/>
                <w:szCs w:val="27"/>
              </w:rPr>
              <w:t xml:space="preserve">: Τα </w:t>
            </w:r>
            <w:r>
              <w:rPr>
                <w:rFonts w:eastAsia="Times New Roman" w:cs="Calibri"/>
                <w:b/>
                <w:i/>
                <w:color w:val="6691AB"/>
                <w:sz w:val="27"/>
                <w:szCs w:val="27"/>
              </w:rPr>
              <w:t>Κ</w:t>
            </w:r>
            <w:r w:rsidRPr="00291416">
              <w:rPr>
                <w:rFonts w:eastAsia="Times New Roman" w:cs="Calibri"/>
                <w:b/>
                <w:i/>
                <w:color w:val="6691AB"/>
                <w:sz w:val="27"/>
                <w:szCs w:val="27"/>
              </w:rPr>
              <w:t xml:space="preserve">αθαρά </w:t>
            </w:r>
            <w:r>
              <w:rPr>
                <w:rFonts w:eastAsia="Times New Roman" w:cs="Calibri"/>
                <w:b/>
                <w:i/>
                <w:color w:val="6691AB"/>
                <w:sz w:val="27"/>
                <w:szCs w:val="27"/>
              </w:rPr>
              <w:t>Έ</w:t>
            </w:r>
            <w:r w:rsidRPr="00291416">
              <w:rPr>
                <w:rFonts w:eastAsia="Times New Roman" w:cs="Calibri"/>
                <w:b/>
                <w:i/>
                <w:color w:val="6691AB"/>
                <w:sz w:val="27"/>
                <w:szCs w:val="27"/>
              </w:rPr>
              <w:t xml:space="preserve">σοδα </w:t>
            </w:r>
            <w:r>
              <w:rPr>
                <w:rFonts w:eastAsia="Times New Roman" w:cs="Calibri"/>
                <w:b/>
                <w:i/>
                <w:color w:val="6691AB"/>
                <w:sz w:val="27"/>
                <w:szCs w:val="27"/>
              </w:rPr>
              <w:t>Α</w:t>
            </w:r>
            <w:r w:rsidRPr="00291416">
              <w:rPr>
                <w:rFonts w:eastAsia="Times New Roman" w:cs="Calibri"/>
                <w:b/>
                <w:i/>
                <w:color w:val="6691AB"/>
                <w:sz w:val="27"/>
                <w:szCs w:val="27"/>
              </w:rPr>
              <w:t xml:space="preserve">ποδεικνύουν τη </w:t>
            </w:r>
          </w:p>
          <w:p w:rsidR="00A947F2" w:rsidRPr="00D10117" w:rsidRDefault="00A947F2" w:rsidP="00290D73">
            <w:pPr>
              <w:shd w:val="clear" w:color="auto" w:fill="FFFFFF" w:themeFill="background1"/>
              <w:tabs>
                <w:tab w:val="left" w:pos="9214"/>
              </w:tabs>
              <w:spacing w:after="40" w:line="300" w:lineRule="exact"/>
              <w:ind w:left="-709" w:right="53"/>
              <w:jc w:val="both"/>
              <w:rPr>
                <w:rFonts w:cs="Calibri"/>
                <w:sz w:val="18"/>
                <w:szCs w:val="18"/>
              </w:rPr>
            </w:pPr>
            <w:r>
              <w:rPr>
                <w:rFonts w:eastAsia="Times New Roman" w:cs="Calibri"/>
                <w:b/>
                <w:i/>
                <w:color w:val="6691AB"/>
                <w:sz w:val="27"/>
                <w:szCs w:val="27"/>
              </w:rPr>
              <w:t xml:space="preserve">           Δυναμική </w:t>
            </w:r>
            <w:r w:rsidRPr="00291416">
              <w:rPr>
                <w:rFonts w:eastAsia="Times New Roman" w:cs="Calibri"/>
                <w:b/>
                <w:i/>
                <w:color w:val="6691AB"/>
                <w:sz w:val="27"/>
                <w:szCs w:val="27"/>
              </w:rPr>
              <w:t xml:space="preserve">των </w:t>
            </w:r>
            <w:r>
              <w:rPr>
                <w:rFonts w:eastAsia="Times New Roman" w:cs="Calibri"/>
                <w:b/>
                <w:i/>
                <w:color w:val="6691AB"/>
                <w:sz w:val="27"/>
                <w:szCs w:val="27"/>
              </w:rPr>
              <w:t>Κ</w:t>
            </w:r>
            <w:r w:rsidRPr="00291416">
              <w:rPr>
                <w:rFonts w:eastAsia="Times New Roman" w:cs="Calibri"/>
                <w:b/>
                <w:i/>
                <w:color w:val="6691AB"/>
                <w:sz w:val="27"/>
                <w:szCs w:val="27"/>
              </w:rPr>
              <w:t xml:space="preserve">ύριων </w:t>
            </w:r>
            <w:r>
              <w:rPr>
                <w:rFonts w:eastAsia="Times New Roman" w:cs="Calibri"/>
                <w:b/>
                <w:i/>
                <w:color w:val="6691AB"/>
                <w:sz w:val="27"/>
                <w:szCs w:val="27"/>
              </w:rPr>
              <w:t>Λ</w:t>
            </w:r>
            <w:r w:rsidRPr="00291416">
              <w:rPr>
                <w:rFonts w:eastAsia="Times New Roman" w:cs="Calibri"/>
                <w:b/>
                <w:i/>
                <w:color w:val="6691AB"/>
                <w:sz w:val="27"/>
                <w:szCs w:val="27"/>
              </w:rPr>
              <w:t>ειτουργιών της Τράπεζας</w:t>
            </w:r>
          </w:p>
        </w:tc>
      </w:tr>
      <w:tr w:rsidR="004B4545" w:rsidRPr="00290D73" w:rsidTr="00290D73">
        <w:trPr>
          <w:trHeight w:val="475"/>
        </w:trPr>
        <w:tc>
          <w:tcPr>
            <w:tcW w:w="1985" w:type="dxa"/>
            <w:tcMar>
              <w:top w:w="57" w:type="dxa"/>
              <w:bottom w:w="57" w:type="dxa"/>
            </w:tcMar>
          </w:tcPr>
          <w:p w:rsidR="004B4545" w:rsidRPr="00894540" w:rsidRDefault="00F13443" w:rsidP="00290D73">
            <w:pPr>
              <w:tabs>
                <w:tab w:val="left" w:pos="8262"/>
              </w:tabs>
              <w:spacing w:after="60"/>
              <w:ind w:left="32" w:right="74"/>
              <w:contextualSpacing/>
              <w:rPr>
                <w:rFonts w:cs="Calibri"/>
                <w:b/>
                <w:i/>
                <w:color w:val="6691AB"/>
                <w:sz w:val="20"/>
                <w:szCs w:val="20"/>
              </w:rPr>
            </w:pPr>
            <w:r w:rsidRPr="00F13443">
              <w:rPr>
                <w:rFonts w:eastAsiaTheme="minorEastAsia" w:cs="Calibri"/>
                <w:i/>
                <w:color w:val="6691AB"/>
                <w:sz w:val="20"/>
                <w:szCs w:val="20"/>
              </w:rPr>
              <w:t xml:space="preserve">Ανθεκτικά καθαρά έσοδα τόκων υποστηριζόμενα από τα νέα δάνεια και τα βελτιωμένα έξοδα τόκων </w:t>
            </w:r>
          </w:p>
        </w:tc>
        <w:tc>
          <w:tcPr>
            <w:tcW w:w="7229" w:type="dxa"/>
            <w:tcMar>
              <w:top w:w="57" w:type="dxa"/>
              <w:bottom w:w="57" w:type="dxa"/>
            </w:tcMar>
          </w:tcPr>
          <w:p w:rsidR="004B4545" w:rsidRPr="00290D73" w:rsidRDefault="00D10117" w:rsidP="00290D73">
            <w:pPr>
              <w:spacing w:after="80" w:line="220" w:lineRule="exact"/>
              <w:ind w:right="74"/>
              <w:jc w:val="both"/>
              <w:rPr>
                <w:rFonts w:cs="Calibri"/>
                <w:sz w:val="17"/>
                <w:szCs w:val="17"/>
              </w:rPr>
            </w:pPr>
            <w:r w:rsidRPr="00290D73">
              <w:rPr>
                <w:rFonts w:cs="Calibri"/>
                <w:sz w:val="17"/>
                <w:szCs w:val="17"/>
              </w:rPr>
              <w:t>Τα καθαρά έσοδα τόκων ανήλθαν σε €360εκατ.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3μηνο 2020</w:t>
            </w:r>
            <w:r w:rsidR="006F487A" w:rsidRPr="00290D73">
              <w:rPr>
                <w:rFonts w:cs="Calibri"/>
                <w:sz w:val="17"/>
                <w:szCs w:val="17"/>
              </w:rPr>
              <w:t>,</w:t>
            </w:r>
            <w:r w:rsidRPr="00290D73">
              <w:rPr>
                <w:rFonts w:cs="Calibri"/>
                <w:sz w:val="17"/>
                <w:szCs w:val="17"/>
              </w:rPr>
              <w:t xml:space="preserve"> σταθερά σε ετήσια βάση και μειωμένα κατά 1% σε τριμηνιαία</w:t>
            </w:r>
            <w:r w:rsidR="006F487A" w:rsidRPr="00290D73">
              <w:rPr>
                <w:rFonts w:cs="Calibri"/>
                <w:sz w:val="17"/>
                <w:szCs w:val="17"/>
              </w:rPr>
              <w:t xml:space="preserve"> βάση</w:t>
            </w:r>
            <w:r w:rsidRPr="00290D73">
              <w:rPr>
                <w:rFonts w:cs="Calibri"/>
                <w:sz w:val="17"/>
                <w:szCs w:val="17"/>
              </w:rPr>
              <w:t>. Τα δάνεια ύψους €1,</w:t>
            </w:r>
            <w:r w:rsidR="006F487A" w:rsidRPr="00290D73">
              <w:rPr>
                <w:rFonts w:cs="Calibri"/>
                <w:sz w:val="17"/>
                <w:szCs w:val="17"/>
              </w:rPr>
              <w:t>3</w:t>
            </w:r>
            <w:r w:rsidRPr="00290D73">
              <w:rPr>
                <w:rFonts w:cs="Calibri"/>
                <w:sz w:val="17"/>
                <w:szCs w:val="17"/>
              </w:rPr>
              <w:t>δισ. που εκταμιεύ</w:t>
            </w:r>
            <w:r w:rsidR="006F487A" w:rsidRPr="00290D73">
              <w:rPr>
                <w:rFonts w:cs="Calibri"/>
                <w:sz w:val="17"/>
                <w:szCs w:val="17"/>
              </w:rPr>
              <w:t>θ</w:t>
            </w:r>
            <w:r w:rsidRPr="00290D73">
              <w:rPr>
                <w:rFonts w:cs="Calibri"/>
                <w:sz w:val="17"/>
                <w:szCs w:val="17"/>
              </w:rPr>
              <w:t>ηκαν κατά τη διάρκεια του τριμήνου</w:t>
            </w:r>
            <w:r w:rsidR="006F487A" w:rsidRPr="00290D73">
              <w:rPr>
                <w:rFonts w:cs="Calibri"/>
                <w:sz w:val="17"/>
                <w:szCs w:val="17"/>
              </w:rPr>
              <w:t>,</w:t>
            </w:r>
            <w:r w:rsidRPr="00290D73">
              <w:rPr>
                <w:rFonts w:cs="Calibri"/>
                <w:sz w:val="17"/>
                <w:szCs w:val="17"/>
              </w:rPr>
              <w:t xml:space="preserve"> καθώς και οι αυξημένες εκταμιεύσεις κατά</w:t>
            </w:r>
            <w:r w:rsidR="006F487A" w:rsidRPr="00290D73">
              <w:rPr>
                <w:rFonts w:cs="Calibri"/>
                <w:sz w:val="17"/>
                <w:szCs w:val="17"/>
              </w:rPr>
              <w:t xml:space="preserve"> τη διάρκεια του δεύτερου μισού </w:t>
            </w:r>
            <w:r w:rsidRPr="00290D73">
              <w:rPr>
                <w:rFonts w:cs="Calibri"/>
                <w:sz w:val="17"/>
                <w:szCs w:val="17"/>
              </w:rPr>
              <w:t xml:space="preserve">του 2019 συνετέλεσαν στην </w:t>
            </w:r>
            <w:r w:rsidR="00DF2B1A" w:rsidRPr="00290D73">
              <w:rPr>
                <w:rFonts w:cs="Calibri"/>
                <w:sz w:val="17"/>
                <w:szCs w:val="17"/>
              </w:rPr>
              <w:t xml:space="preserve">ανθεκτικότητα των εσόδων τόκων. </w:t>
            </w:r>
            <w:r w:rsidRPr="00290D73">
              <w:rPr>
                <w:rFonts w:cs="Calibri"/>
                <w:sz w:val="17"/>
                <w:szCs w:val="17"/>
              </w:rPr>
              <w:t xml:space="preserve">Το κόστος χρηματοδότησης (έξοδα τόκων) ήταν ιδιαίτερα υποστηρικτικό, σημειώνοντας 14% μείωση σε ετήσια βάση και 11% σε τριμηνιαία </w:t>
            </w:r>
            <w:r w:rsidR="006F487A" w:rsidRPr="00290D73">
              <w:rPr>
                <w:rFonts w:cs="Calibri"/>
                <w:sz w:val="17"/>
                <w:szCs w:val="17"/>
              </w:rPr>
              <w:t xml:space="preserve">βάση </w:t>
            </w:r>
            <w:r w:rsidRPr="00290D73">
              <w:rPr>
                <w:rFonts w:cs="Calibri"/>
                <w:sz w:val="17"/>
                <w:szCs w:val="17"/>
              </w:rPr>
              <w:t xml:space="preserve">και αυτό παρά την έκδοση τίτλων </w:t>
            </w:r>
            <w:proofErr w:type="spellStart"/>
            <w:r w:rsidRPr="00290D73">
              <w:rPr>
                <w:rFonts w:cs="Calibri"/>
                <w:sz w:val="17"/>
                <w:szCs w:val="17"/>
              </w:rPr>
              <w:t>Tier</w:t>
            </w:r>
            <w:proofErr w:type="spellEnd"/>
            <w:r w:rsidRPr="00290D73">
              <w:rPr>
                <w:rFonts w:cs="Calibri"/>
                <w:sz w:val="17"/>
                <w:szCs w:val="17"/>
              </w:rPr>
              <w:t xml:space="preserve"> 2 στα μέσα του τριμήνου. </w:t>
            </w:r>
            <w:r w:rsidR="00DF2B1A" w:rsidRPr="00290D73">
              <w:rPr>
                <w:rFonts w:cs="Calibri"/>
                <w:sz w:val="17"/>
                <w:szCs w:val="17"/>
              </w:rPr>
              <w:t>Παράλληλα</w:t>
            </w:r>
            <w:r w:rsidRPr="00290D73">
              <w:rPr>
                <w:rFonts w:cs="Calibri"/>
                <w:sz w:val="17"/>
                <w:szCs w:val="17"/>
              </w:rPr>
              <w:t xml:space="preserve">, η σημαντική συγκράτηση του κόστους καταθέσεων και </w:t>
            </w:r>
            <w:r w:rsidR="00DF2B1A" w:rsidRPr="00290D73">
              <w:rPr>
                <w:rFonts w:cs="Calibri"/>
                <w:sz w:val="17"/>
                <w:szCs w:val="17"/>
              </w:rPr>
              <w:t xml:space="preserve">η </w:t>
            </w:r>
            <w:r w:rsidRPr="00290D73">
              <w:rPr>
                <w:rFonts w:cs="Calibri"/>
                <w:sz w:val="17"/>
                <w:szCs w:val="17"/>
              </w:rPr>
              <w:t xml:space="preserve">χρήση του </w:t>
            </w:r>
            <w:r w:rsidR="008F3B75" w:rsidRPr="00290D73">
              <w:rPr>
                <w:rFonts w:cs="Calibri"/>
                <w:sz w:val="17"/>
                <w:szCs w:val="17"/>
              </w:rPr>
              <w:t>μηχανισμ</w:t>
            </w:r>
            <w:r w:rsidR="00DF2B1A" w:rsidRPr="00290D73">
              <w:rPr>
                <w:rFonts w:cs="Calibri"/>
                <w:sz w:val="17"/>
                <w:szCs w:val="17"/>
              </w:rPr>
              <w:t xml:space="preserve">ού </w:t>
            </w:r>
            <w:r w:rsidRPr="00290D73">
              <w:rPr>
                <w:rFonts w:cs="Calibri"/>
                <w:sz w:val="17"/>
                <w:szCs w:val="17"/>
              </w:rPr>
              <w:t xml:space="preserve">LTRO της ΕΚΤ απορρόφησε το κόστος της νέας έκδοσης </w:t>
            </w:r>
            <w:proofErr w:type="spellStart"/>
            <w:r w:rsidRPr="00290D73">
              <w:rPr>
                <w:rFonts w:cs="Calibri"/>
                <w:sz w:val="17"/>
                <w:szCs w:val="17"/>
              </w:rPr>
              <w:t>Tier</w:t>
            </w:r>
            <w:proofErr w:type="spellEnd"/>
            <w:r w:rsidRPr="00290D73">
              <w:rPr>
                <w:rFonts w:cs="Calibri"/>
                <w:sz w:val="17"/>
                <w:szCs w:val="17"/>
              </w:rPr>
              <w:t xml:space="preserve"> 2. Επιπλέον, το επιτόκιο των νέων προθεσμιακών καταθέσεων περιορίσ</w:t>
            </w:r>
            <w:r w:rsidR="00DF2B1A" w:rsidRPr="00290D73">
              <w:rPr>
                <w:rFonts w:cs="Calibri"/>
                <w:sz w:val="17"/>
                <w:szCs w:val="17"/>
              </w:rPr>
              <w:t>θ</w:t>
            </w:r>
            <w:r w:rsidRPr="00290D73">
              <w:rPr>
                <w:rFonts w:cs="Calibri"/>
                <w:sz w:val="17"/>
                <w:szCs w:val="17"/>
              </w:rPr>
              <w:t>ηκε σε 23μ.β.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 xml:space="preserve">3μηνο 2020, από 59μ.β. την αντίστοιχη περίοδο του 2019. Το καθαρό </w:t>
            </w:r>
            <w:proofErr w:type="spellStart"/>
            <w:r w:rsidRPr="00290D73">
              <w:rPr>
                <w:rFonts w:cs="Calibri"/>
                <w:sz w:val="17"/>
                <w:szCs w:val="17"/>
              </w:rPr>
              <w:t>επιτοκιακό</w:t>
            </w:r>
            <w:proofErr w:type="spellEnd"/>
            <w:r w:rsidRPr="00290D73">
              <w:rPr>
                <w:rFonts w:cs="Calibri"/>
                <w:sz w:val="17"/>
                <w:szCs w:val="17"/>
              </w:rPr>
              <w:t xml:space="preserve"> περιθώριο (ΝΙΜ) κατά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 xml:space="preserve">3μηνο 2020 </w:t>
            </w:r>
            <w:r w:rsidR="00DF2B1A" w:rsidRPr="00290D73">
              <w:rPr>
                <w:rFonts w:cs="Calibri"/>
                <w:sz w:val="17"/>
                <w:szCs w:val="17"/>
              </w:rPr>
              <w:t>διαμορφώθηκε σε</w:t>
            </w:r>
            <w:r w:rsidRPr="00290D73">
              <w:rPr>
                <w:rFonts w:cs="Calibri"/>
                <w:sz w:val="17"/>
                <w:szCs w:val="17"/>
              </w:rPr>
              <w:t xml:space="preserve"> 239μ.β. από 24</w:t>
            </w:r>
            <w:r w:rsidR="00290D73" w:rsidRPr="00290D73">
              <w:rPr>
                <w:rFonts w:cs="Calibri"/>
                <w:sz w:val="17"/>
                <w:szCs w:val="17"/>
              </w:rPr>
              <w:t>8μβ το 1ο 3μηνο 2019 και 244μβ</w:t>
            </w:r>
            <w:r w:rsidRPr="00290D73">
              <w:rPr>
                <w:rFonts w:cs="Calibri"/>
                <w:sz w:val="17"/>
                <w:szCs w:val="17"/>
              </w:rPr>
              <w:t xml:space="preserve"> το 4</w:t>
            </w:r>
            <w:r w:rsidRPr="00290D73">
              <w:rPr>
                <w:rFonts w:cs="Calibri"/>
                <w:sz w:val="17"/>
                <w:szCs w:val="17"/>
                <w:vertAlign w:val="superscript"/>
              </w:rPr>
              <w:t>ο</w:t>
            </w:r>
            <w:r w:rsidRPr="00290D73">
              <w:rPr>
                <w:rFonts w:cs="Calibri"/>
                <w:sz w:val="17"/>
                <w:szCs w:val="17"/>
              </w:rPr>
              <w:t xml:space="preserve"> </w:t>
            </w:r>
            <w:r w:rsidR="00290D73" w:rsidRPr="00290D73">
              <w:rPr>
                <w:rFonts w:cs="Calibri"/>
                <w:sz w:val="17"/>
                <w:szCs w:val="17"/>
              </w:rPr>
              <w:t>3μ.20</w:t>
            </w:r>
            <w:r w:rsidRPr="00290D73">
              <w:rPr>
                <w:rFonts w:cs="Calibri"/>
                <w:sz w:val="17"/>
                <w:szCs w:val="17"/>
              </w:rPr>
              <w:t>19.</w:t>
            </w:r>
          </w:p>
        </w:tc>
      </w:tr>
      <w:tr w:rsidR="004B4545" w:rsidRPr="00290D73" w:rsidTr="00290D73">
        <w:trPr>
          <w:trHeight w:val="1011"/>
        </w:trPr>
        <w:tc>
          <w:tcPr>
            <w:tcW w:w="1985" w:type="dxa"/>
            <w:tcMar>
              <w:top w:w="57" w:type="dxa"/>
              <w:bottom w:w="57" w:type="dxa"/>
            </w:tcMar>
          </w:tcPr>
          <w:p w:rsidR="004B4545" w:rsidRPr="00D10117" w:rsidRDefault="00D10117" w:rsidP="00290D73">
            <w:pPr>
              <w:tabs>
                <w:tab w:val="left" w:pos="8262"/>
              </w:tabs>
              <w:spacing w:after="60"/>
              <w:ind w:left="32" w:right="-171"/>
              <w:contextualSpacing/>
              <w:rPr>
                <w:rFonts w:cs="Calibri"/>
                <w:b/>
                <w:color w:val="6691AB"/>
                <w:spacing w:val="-6"/>
                <w:sz w:val="20"/>
                <w:szCs w:val="20"/>
              </w:rPr>
            </w:pPr>
            <w:r w:rsidRPr="00D10117">
              <w:rPr>
                <w:rFonts w:eastAsiaTheme="minorEastAsia" w:cs="Calibri"/>
                <w:i/>
                <w:color w:val="6691AB"/>
                <w:spacing w:val="-6"/>
                <w:sz w:val="20"/>
                <w:szCs w:val="20"/>
              </w:rPr>
              <w:t xml:space="preserve">Τα έσοδα προμηθειών αυξήθηκαν σε ετήσια βάση, ενώ  τα έσοδα από συναλλαγές επηρεάστηκαν από την </w:t>
            </w:r>
            <w:r w:rsidR="00290D73">
              <w:rPr>
                <w:rFonts w:eastAsiaTheme="minorEastAsia" w:cs="Calibri"/>
                <w:i/>
                <w:color w:val="6691AB"/>
                <w:spacing w:val="-6"/>
                <w:sz w:val="20"/>
                <w:szCs w:val="20"/>
              </w:rPr>
              <w:t>μεταβλητότητα</w:t>
            </w:r>
            <w:r w:rsidRPr="00D10117">
              <w:rPr>
                <w:rFonts w:eastAsiaTheme="minorEastAsia" w:cs="Calibri"/>
                <w:i/>
                <w:color w:val="6691AB"/>
                <w:spacing w:val="-6"/>
                <w:sz w:val="20"/>
                <w:szCs w:val="20"/>
              </w:rPr>
              <w:t xml:space="preserve"> της αγοράς</w:t>
            </w:r>
          </w:p>
        </w:tc>
        <w:tc>
          <w:tcPr>
            <w:tcW w:w="7229" w:type="dxa"/>
            <w:tcMar>
              <w:top w:w="57" w:type="dxa"/>
              <w:bottom w:w="57" w:type="dxa"/>
            </w:tcMar>
          </w:tcPr>
          <w:p w:rsidR="004B4545" w:rsidRPr="00290D73" w:rsidRDefault="00D10117" w:rsidP="00290D73">
            <w:pPr>
              <w:spacing w:after="80" w:line="220" w:lineRule="exact"/>
              <w:ind w:left="40" w:right="74"/>
              <w:jc w:val="both"/>
              <w:rPr>
                <w:sz w:val="17"/>
                <w:szCs w:val="17"/>
              </w:rPr>
            </w:pPr>
            <w:r w:rsidRPr="00290D73">
              <w:rPr>
                <w:sz w:val="17"/>
                <w:szCs w:val="17"/>
              </w:rPr>
              <w:t>Τα καθαρά έσοδα προμηθειών αυξήθηκαν στα €71εκατ. το 1</w:t>
            </w:r>
            <w:r w:rsidRPr="00290D73">
              <w:rPr>
                <w:sz w:val="17"/>
                <w:szCs w:val="17"/>
                <w:vertAlign w:val="superscript"/>
              </w:rPr>
              <w:t>ο</w:t>
            </w:r>
            <w:r w:rsidRPr="00290D73">
              <w:rPr>
                <w:sz w:val="17"/>
                <w:szCs w:val="17"/>
              </w:rPr>
              <w:t xml:space="preserve"> </w:t>
            </w:r>
            <w:r w:rsidR="00D04BC7" w:rsidRPr="00290D73">
              <w:rPr>
                <w:sz w:val="17"/>
                <w:szCs w:val="17"/>
              </w:rPr>
              <w:t>3μηνο 2020</w:t>
            </w:r>
            <w:r w:rsidRPr="00290D73">
              <w:rPr>
                <w:sz w:val="17"/>
                <w:szCs w:val="17"/>
              </w:rPr>
              <w:t xml:space="preserve"> ή </w:t>
            </w:r>
            <w:r w:rsidR="00874264" w:rsidRPr="00290D73">
              <w:rPr>
                <w:sz w:val="17"/>
                <w:szCs w:val="17"/>
              </w:rPr>
              <w:t xml:space="preserve">κατά 3% σε ετήσια βάση, παρά την </w:t>
            </w:r>
            <w:r w:rsidRPr="00290D73">
              <w:rPr>
                <w:sz w:val="17"/>
                <w:szCs w:val="17"/>
              </w:rPr>
              <w:t>πτώση τους τον Μάρτιο 2020 λόγω της υγειονομικής κρίσης του COVID-19. Σε αυτή την</w:t>
            </w:r>
            <w:r w:rsidR="00874264" w:rsidRPr="00290D73">
              <w:rPr>
                <w:sz w:val="17"/>
                <w:szCs w:val="17"/>
              </w:rPr>
              <w:t xml:space="preserve"> ετήσια</w:t>
            </w:r>
            <w:r w:rsidRPr="00290D73">
              <w:rPr>
                <w:sz w:val="17"/>
                <w:szCs w:val="17"/>
              </w:rPr>
              <w:t xml:space="preserve"> αύξηση σημαντική ήταν η συνεισφορά από </w:t>
            </w:r>
            <w:r w:rsidR="00874264" w:rsidRPr="00290D73">
              <w:rPr>
                <w:sz w:val="17"/>
                <w:szCs w:val="17"/>
              </w:rPr>
              <w:t>το</w:t>
            </w:r>
            <w:r w:rsidRPr="00290D73">
              <w:rPr>
                <w:sz w:val="17"/>
                <w:szCs w:val="17"/>
              </w:rPr>
              <w:t xml:space="preserve"> </w:t>
            </w:r>
            <w:proofErr w:type="spellStart"/>
            <w:r w:rsidRPr="00290D73">
              <w:rPr>
                <w:sz w:val="17"/>
                <w:szCs w:val="17"/>
              </w:rPr>
              <w:t>bancassurance</w:t>
            </w:r>
            <w:proofErr w:type="spellEnd"/>
            <w:r w:rsidRPr="00290D73">
              <w:rPr>
                <w:sz w:val="17"/>
                <w:szCs w:val="17"/>
              </w:rPr>
              <w:t xml:space="preserve"> και τη διαχείριση περιουσίας. Η Τράπεζα κατέ</w:t>
            </w:r>
            <w:r w:rsidR="00FF789E" w:rsidRPr="00290D73">
              <w:rPr>
                <w:sz w:val="17"/>
                <w:szCs w:val="17"/>
              </w:rPr>
              <w:t xml:space="preserve">γραψε ζημιές ύψους €46εκατ. στο εμπορικό </w:t>
            </w:r>
            <w:r w:rsidRPr="00290D73">
              <w:rPr>
                <w:sz w:val="17"/>
                <w:szCs w:val="17"/>
              </w:rPr>
              <w:t xml:space="preserve">χαρτοφυλάκιο εξαιτίας της </w:t>
            </w:r>
            <w:r w:rsidR="00874264" w:rsidRPr="00290D73">
              <w:rPr>
                <w:sz w:val="17"/>
                <w:szCs w:val="17"/>
              </w:rPr>
              <w:t>μεταβλητότητας</w:t>
            </w:r>
            <w:r w:rsidRPr="00290D73">
              <w:rPr>
                <w:sz w:val="17"/>
                <w:szCs w:val="17"/>
              </w:rPr>
              <w:t xml:space="preserve"> στις αγορές από την κρίση του COVID-19 στα τέλη Φεβρουαρίου 2020.</w:t>
            </w:r>
          </w:p>
        </w:tc>
      </w:tr>
      <w:tr w:rsidR="004B4545" w:rsidRPr="00290D73" w:rsidTr="00290D73">
        <w:trPr>
          <w:trHeight w:val="457"/>
        </w:trPr>
        <w:tc>
          <w:tcPr>
            <w:tcW w:w="1985" w:type="dxa"/>
            <w:tcMar>
              <w:top w:w="57" w:type="dxa"/>
              <w:bottom w:w="57" w:type="dxa"/>
            </w:tcMar>
          </w:tcPr>
          <w:p w:rsidR="004B4545" w:rsidRPr="005F3CDF" w:rsidRDefault="005F3CDF" w:rsidP="00290D73">
            <w:pPr>
              <w:tabs>
                <w:tab w:val="left" w:pos="8262"/>
              </w:tabs>
              <w:spacing w:after="60"/>
              <w:ind w:left="32" w:right="74"/>
              <w:contextualSpacing/>
              <w:rPr>
                <w:rFonts w:cs="Calibri"/>
                <w:b/>
                <w:i/>
                <w:color w:val="6691AB"/>
              </w:rPr>
            </w:pPr>
            <w:r w:rsidRPr="000E2B39">
              <w:rPr>
                <w:rFonts w:eastAsiaTheme="minorEastAsia" w:cs="Calibri"/>
                <w:i/>
                <w:color w:val="6691AB"/>
                <w:sz w:val="20"/>
                <w:szCs w:val="20"/>
              </w:rPr>
              <w:t>Τα λειτουργικά έξοδα μειώθηκαν περαιτέρω</w:t>
            </w:r>
          </w:p>
        </w:tc>
        <w:tc>
          <w:tcPr>
            <w:tcW w:w="7229" w:type="dxa"/>
            <w:tcMar>
              <w:top w:w="57" w:type="dxa"/>
              <w:bottom w:w="57" w:type="dxa"/>
            </w:tcMar>
          </w:tcPr>
          <w:p w:rsidR="004B4545" w:rsidRPr="00290D73" w:rsidRDefault="00F85C17" w:rsidP="00567E8C">
            <w:pPr>
              <w:spacing w:after="80" w:line="220" w:lineRule="exact"/>
              <w:ind w:left="40" w:right="74"/>
              <w:jc w:val="both"/>
              <w:rPr>
                <w:sz w:val="17"/>
                <w:szCs w:val="17"/>
              </w:rPr>
            </w:pPr>
            <w:r w:rsidRPr="00290D73">
              <w:rPr>
                <w:sz w:val="17"/>
                <w:szCs w:val="17"/>
              </w:rPr>
              <w:t>Τα λειτουργικά έξοδα το 1</w:t>
            </w:r>
            <w:r w:rsidRPr="00290D73">
              <w:rPr>
                <w:sz w:val="17"/>
                <w:szCs w:val="17"/>
                <w:vertAlign w:val="superscript"/>
              </w:rPr>
              <w:t>ο</w:t>
            </w:r>
            <w:r w:rsidR="00675202" w:rsidRPr="00290D73">
              <w:rPr>
                <w:sz w:val="17"/>
                <w:szCs w:val="17"/>
              </w:rPr>
              <w:t xml:space="preserve"> </w:t>
            </w:r>
            <w:r w:rsidR="00D04BC7" w:rsidRPr="00290D73">
              <w:rPr>
                <w:sz w:val="17"/>
                <w:szCs w:val="17"/>
              </w:rPr>
              <w:t>3μηνο 2020</w:t>
            </w:r>
            <w:r w:rsidRPr="00290D73">
              <w:rPr>
                <w:sz w:val="17"/>
                <w:szCs w:val="17"/>
              </w:rPr>
              <w:t xml:space="preserve"> ανήλθαν σε €227εκατ., περιλαμβάνοντας την προμήθεια διαχείρισης προς τον διαχειριστή των ΜΕΑ. Αν εξαιρεθεί αυτή η προμήθεια, τα λειτουργικά έξοδα είναι μειωμένα κατά 7% σε ετήσια και 16% σε τριμηνιαία βάση. Ο </w:t>
            </w:r>
            <w:r w:rsidR="001C793F" w:rsidRPr="00290D73">
              <w:rPr>
                <w:sz w:val="17"/>
                <w:szCs w:val="17"/>
              </w:rPr>
              <w:t xml:space="preserve">δείκτης </w:t>
            </w:r>
            <w:r w:rsidRPr="00290D73">
              <w:rPr>
                <w:sz w:val="17"/>
                <w:szCs w:val="17"/>
              </w:rPr>
              <w:t xml:space="preserve"> κόστους </w:t>
            </w:r>
            <w:r w:rsidR="001C793F" w:rsidRPr="00290D73">
              <w:rPr>
                <w:sz w:val="17"/>
                <w:szCs w:val="17"/>
              </w:rPr>
              <w:t>εξόδων προς έσοδα</w:t>
            </w:r>
            <w:r w:rsidRPr="00290D73">
              <w:rPr>
                <w:sz w:val="17"/>
                <w:szCs w:val="17"/>
              </w:rPr>
              <w:t xml:space="preserve"> (εξαιρουμένης της επίπτωσης του COVID-19 </w:t>
            </w:r>
            <w:r w:rsidR="00FF789E" w:rsidRPr="00290D73">
              <w:rPr>
                <w:sz w:val="17"/>
                <w:szCs w:val="17"/>
              </w:rPr>
              <w:t xml:space="preserve">στο εμπορικό </w:t>
            </w:r>
            <w:proofErr w:type="spellStart"/>
            <w:r w:rsidR="00FF789E" w:rsidRPr="00290D73">
              <w:rPr>
                <w:sz w:val="17"/>
                <w:szCs w:val="17"/>
              </w:rPr>
              <w:t>χαροφυλάκιο</w:t>
            </w:r>
            <w:proofErr w:type="spellEnd"/>
            <w:r w:rsidRPr="00290D73">
              <w:rPr>
                <w:sz w:val="17"/>
                <w:szCs w:val="17"/>
              </w:rPr>
              <w:t>) διαμορφώθηκε στο 50% το 1ο 3μηνο 2020 έναντι 56% το 4</w:t>
            </w:r>
            <w:r w:rsidRPr="00290D73">
              <w:rPr>
                <w:sz w:val="17"/>
                <w:szCs w:val="17"/>
                <w:vertAlign w:val="superscript"/>
              </w:rPr>
              <w:t>ο</w:t>
            </w:r>
            <w:r w:rsidR="00AD46A9" w:rsidRPr="00290D73">
              <w:rPr>
                <w:sz w:val="17"/>
                <w:szCs w:val="17"/>
              </w:rPr>
              <w:t xml:space="preserve"> </w:t>
            </w:r>
            <w:r w:rsidRPr="00290D73">
              <w:rPr>
                <w:sz w:val="17"/>
                <w:szCs w:val="17"/>
              </w:rPr>
              <w:t xml:space="preserve">3μηνο 2019. Οι δαπάνες προσωπικού μειώθηκαν κατά 11% ετησίως, καθώς η Τράπεζα </w:t>
            </w:r>
            <w:r w:rsidR="00D04BC7" w:rsidRPr="00290D73">
              <w:rPr>
                <w:sz w:val="17"/>
                <w:szCs w:val="17"/>
              </w:rPr>
              <w:t>δέχτηκε το όφελος</w:t>
            </w:r>
            <w:r w:rsidRPr="00290D73">
              <w:rPr>
                <w:sz w:val="17"/>
                <w:szCs w:val="17"/>
              </w:rPr>
              <w:t xml:space="preserve"> της απόσχισης της πλατφόρμας διαχείρισης ΜΕΑ και της εθελουσίας εξόδου του έτους 2019. Συνολικά, παραμένουμε εντός στόχων για τη μείωση των λειτουργικών εξόδων </w:t>
            </w:r>
            <w:proofErr w:type="spellStart"/>
            <w:r w:rsidR="00567E8C">
              <w:rPr>
                <w:sz w:val="17"/>
                <w:szCs w:val="17"/>
                <w:lang w:val="en-US"/>
              </w:rPr>
              <w:t>thw</w:t>
            </w:r>
            <w:proofErr w:type="spellEnd"/>
            <w:r w:rsidRPr="00290D73">
              <w:rPr>
                <w:sz w:val="17"/>
                <w:szCs w:val="17"/>
              </w:rPr>
              <w:t xml:space="preserve"> με μεσαίο μονοψήφιο ρυθμό κατά το 2020, μετά από επαναλαμβανόμενη μείωσή τους κατά 6% το 2019.</w:t>
            </w:r>
          </w:p>
        </w:tc>
      </w:tr>
      <w:tr w:rsidR="004B4545" w:rsidRPr="00290D73" w:rsidTr="00290D73">
        <w:trPr>
          <w:trHeight w:val="457"/>
        </w:trPr>
        <w:tc>
          <w:tcPr>
            <w:tcW w:w="1985" w:type="dxa"/>
            <w:tcMar>
              <w:top w:w="57" w:type="dxa"/>
              <w:bottom w:w="57" w:type="dxa"/>
            </w:tcMar>
          </w:tcPr>
          <w:p w:rsidR="004B4545" w:rsidRPr="000E2B39" w:rsidRDefault="000E2B39" w:rsidP="00290D73">
            <w:pPr>
              <w:tabs>
                <w:tab w:val="left" w:pos="8262"/>
              </w:tabs>
              <w:spacing w:after="60"/>
              <w:ind w:left="32" w:right="74"/>
              <w:contextualSpacing/>
              <w:rPr>
                <w:rFonts w:cs="Calibri"/>
                <w:b/>
                <w:i/>
                <w:noProof/>
                <w:color w:val="6691AB"/>
                <w:lang w:eastAsia="el-GR"/>
              </w:rPr>
            </w:pPr>
            <w:r w:rsidRPr="000E2B39">
              <w:rPr>
                <w:rFonts w:eastAsiaTheme="minorEastAsia" w:cs="Calibri"/>
                <w:i/>
                <w:color w:val="6691AB"/>
                <w:sz w:val="20"/>
                <w:szCs w:val="20"/>
              </w:rPr>
              <w:t>Επαναλαμβανόμενα κέρδη προ φόρων και προβλέψεων</w:t>
            </w:r>
          </w:p>
        </w:tc>
        <w:tc>
          <w:tcPr>
            <w:tcW w:w="7229" w:type="dxa"/>
            <w:tcMar>
              <w:top w:w="57" w:type="dxa"/>
              <w:bottom w:w="57" w:type="dxa"/>
            </w:tcMar>
          </w:tcPr>
          <w:p w:rsidR="004B4545" w:rsidRPr="00290D73" w:rsidRDefault="00F85C17" w:rsidP="00290D73">
            <w:pPr>
              <w:spacing w:after="80" w:line="220" w:lineRule="exact"/>
              <w:ind w:left="40" w:right="74"/>
              <w:jc w:val="both"/>
              <w:rPr>
                <w:b/>
                <w:sz w:val="17"/>
                <w:szCs w:val="17"/>
              </w:rPr>
            </w:pPr>
            <w:r w:rsidRPr="00290D73">
              <w:rPr>
                <w:rFonts w:cs="Calibri"/>
                <w:sz w:val="17"/>
                <w:szCs w:val="17"/>
              </w:rPr>
              <w:t>Τα κέρδη προ φόρων και προβλέψεων διαμορφώθηκαν σε €185εκατ.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3μηνο 20</w:t>
            </w:r>
            <w:r w:rsidR="00FF789E" w:rsidRPr="00290D73">
              <w:rPr>
                <w:rFonts w:cs="Calibri"/>
                <w:sz w:val="17"/>
                <w:szCs w:val="17"/>
              </w:rPr>
              <w:t xml:space="preserve">20 ή €231εκατ. εξαιρουμένων </w:t>
            </w:r>
            <w:r w:rsidR="00012B7F" w:rsidRPr="00290D73">
              <w:rPr>
                <w:rFonts w:cs="Calibri"/>
                <w:sz w:val="17"/>
                <w:szCs w:val="17"/>
              </w:rPr>
              <w:t xml:space="preserve">των ζημιών του εμπορικού </w:t>
            </w:r>
            <w:proofErr w:type="spellStart"/>
            <w:r w:rsidR="00012B7F" w:rsidRPr="00290D73">
              <w:rPr>
                <w:rFonts w:cs="Calibri"/>
                <w:sz w:val="17"/>
                <w:szCs w:val="17"/>
              </w:rPr>
              <w:t>χαροφυλακίου</w:t>
            </w:r>
            <w:proofErr w:type="spellEnd"/>
            <w:r w:rsidRPr="00290D73">
              <w:rPr>
                <w:rFonts w:cs="Calibri"/>
                <w:sz w:val="17"/>
                <w:szCs w:val="17"/>
              </w:rPr>
              <w:t xml:space="preserve"> που σχετίζονται με το COVID-19, από €214εκατ. πριν ένα χρόνο, </w:t>
            </w:r>
            <w:r w:rsidR="00EF0B80" w:rsidRPr="00290D73">
              <w:rPr>
                <w:rFonts w:cs="Calibri"/>
                <w:sz w:val="17"/>
                <w:szCs w:val="17"/>
              </w:rPr>
              <w:t>με</w:t>
            </w:r>
            <w:r w:rsidRPr="00290D73">
              <w:rPr>
                <w:rFonts w:cs="Calibri"/>
                <w:sz w:val="17"/>
                <w:szCs w:val="17"/>
              </w:rPr>
              <w:t xml:space="preserve"> αύξηση κατά 8% ετησίως. Επιπλέον, τα καθαρά έσοδα τόκων συν τα καθαρά έσοδα προμηθειών μείον τα επαναλαμβανόμενα λειτουργικά έξοδα, ανήλθαν σε €204εκατ., 3% υψηλότερα σε ετήσια βάση και 11% σε τριμηνιαία, αποδεικνύοντας την ισχύ των κύριων λειτουργιών της Τράπεζας.</w:t>
            </w:r>
          </w:p>
        </w:tc>
      </w:tr>
      <w:tr w:rsidR="004B4545" w:rsidRPr="00290D73" w:rsidTr="00290D73">
        <w:trPr>
          <w:trHeight w:val="457"/>
        </w:trPr>
        <w:tc>
          <w:tcPr>
            <w:tcW w:w="1985" w:type="dxa"/>
            <w:tcMar>
              <w:top w:w="57" w:type="dxa"/>
              <w:bottom w:w="57" w:type="dxa"/>
            </w:tcMar>
          </w:tcPr>
          <w:p w:rsidR="004B4545" w:rsidRPr="00D10117" w:rsidRDefault="00D10117" w:rsidP="00290D73">
            <w:pPr>
              <w:tabs>
                <w:tab w:val="left" w:pos="8262"/>
              </w:tabs>
              <w:spacing w:after="60"/>
              <w:ind w:left="32" w:right="74"/>
              <w:contextualSpacing/>
              <w:rPr>
                <w:rFonts w:eastAsiaTheme="minorEastAsia" w:cs="Calibri"/>
                <w:i/>
                <w:color w:val="6691AB"/>
                <w:sz w:val="20"/>
                <w:szCs w:val="20"/>
              </w:rPr>
            </w:pPr>
            <w:r>
              <w:rPr>
                <w:rFonts w:eastAsiaTheme="minorEastAsia" w:cs="Calibri"/>
                <w:i/>
                <w:color w:val="6691AB"/>
                <w:sz w:val="20"/>
                <w:szCs w:val="20"/>
              </w:rPr>
              <w:t>Οι</w:t>
            </w:r>
            <w:r w:rsidRPr="00D10117">
              <w:rPr>
                <w:rFonts w:eastAsiaTheme="minorEastAsia" w:cs="Calibri"/>
                <w:i/>
                <w:color w:val="6691AB"/>
                <w:sz w:val="20"/>
                <w:szCs w:val="20"/>
              </w:rPr>
              <w:t xml:space="preserve"> </w:t>
            </w:r>
            <w:proofErr w:type="spellStart"/>
            <w:r>
              <w:rPr>
                <w:rFonts w:eastAsiaTheme="minorEastAsia" w:cs="Calibri"/>
                <w:i/>
                <w:color w:val="6691AB"/>
                <w:sz w:val="20"/>
                <w:szCs w:val="20"/>
              </w:rPr>
              <w:t>απομειώσεις</w:t>
            </w:r>
            <w:proofErr w:type="spellEnd"/>
            <w:r w:rsidRPr="00D10117">
              <w:rPr>
                <w:rFonts w:eastAsiaTheme="minorEastAsia" w:cs="Calibri"/>
                <w:i/>
                <w:color w:val="6691AB"/>
                <w:sz w:val="20"/>
                <w:szCs w:val="20"/>
              </w:rPr>
              <w:t xml:space="preserve"> </w:t>
            </w:r>
            <w:r>
              <w:rPr>
                <w:rFonts w:eastAsiaTheme="minorEastAsia" w:cs="Calibri"/>
                <w:i/>
                <w:color w:val="6691AB"/>
                <w:sz w:val="20"/>
                <w:szCs w:val="20"/>
              </w:rPr>
              <w:t>δανείων</w:t>
            </w:r>
            <w:r w:rsidRPr="00D10117">
              <w:rPr>
                <w:rFonts w:eastAsiaTheme="minorEastAsia" w:cs="Calibri"/>
                <w:i/>
                <w:color w:val="6691AB"/>
                <w:sz w:val="20"/>
                <w:szCs w:val="20"/>
              </w:rPr>
              <w:t xml:space="preserve"> </w:t>
            </w:r>
            <w:r>
              <w:rPr>
                <w:rFonts w:eastAsiaTheme="minorEastAsia" w:cs="Calibri"/>
                <w:i/>
                <w:color w:val="6691AB"/>
                <w:sz w:val="20"/>
                <w:szCs w:val="20"/>
              </w:rPr>
              <w:t>αυξήθηκαν</w:t>
            </w:r>
            <w:r w:rsidRPr="00D10117">
              <w:rPr>
                <w:rFonts w:eastAsiaTheme="minorEastAsia" w:cs="Calibri"/>
                <w:i/>
                <w:color w:val="6691AB"/>
                <w:sz w:val="20"/>
                <w:szCs w:val="20"/>
              </w:rPr>
              <w:t xml:space="preserve"> </w:t>
            </w:r>
            <w:r>
              <w:rPr>
                <w:rFonts w:eastAsiaTheme="minorEastAsia" w:cs="Calibri"/>
                <w:i/>
                <w:color w:val="6691AB"/>
                <w:sz w:val="20"/>
                <w:szCs w:val="20"/>
              </w:rPr>
              <w:t xml:space="preserve">λόγω της επίπτωσης του </w:t>
            </w:r>
            <w:r w:rsidR="004B4545" w:rsidRPr="00B15555">
              <w:rPr>
                <w:rFonts w:eastAsiaTheme="minorEastAsia" w:cs="Calibri"/>
                <w:i/>
                <w:color w:val="6691AB"/>
                <w:sz w:val="20"/>
                <w:szCs w:val="20"/>
                <w:lang w:val="en-US"/>
              </w:rPr>
              <w:t>COVID</w:t>
            </w:r>
            <w:r w:rsidR="004B4545" w:rsidRPr="00D10117">
              <w:rPr>
                <w:rFonts w:eastAsiaTheme="minorEastAsia" w:cs="Calibri"/>
                <w:i/>
                <w:color w:val="6691AB"/>
                <w:sz w:val="20"/>
                <w:szCs w:val="20"/>
              </w:rPr>
              <w:t xml:space="preserve">-19 </w:t>
            </w:r>
          </w:p>
          <w:p w:rsidR="004B4545" w:rsidRPr="00D10117" w:rsidRDefault="004B4545" w:rsidP="00290D73">
            <w:pPr>
              <w:tabs>
                <w:tab w:val="left" w:pos="8262"/>
              </w:tabs>
              <w:spacing w:after="60"/>
              <w:ind w:right="74"/>
              <w:contextualSpacing/>
              <w:rPr>
                <w:rFonts w:cs="Calibri"/>
                <w:b/>
                <w:i/>
                <w:noProof/>
                <w:color w:val="6691AB"/>
                <w:lang w:eastAsia="el-GR"/>
              </w:rPr>
            </w:pPr>
          </w:p>
        </w:tc>
        <w:tc>
          <w:tcPr>
            <w:tcW w:w="7229" w:type="dxa"/>
            <w:tcMar>
              <w:top w:w="57" w:type="dxa"/>
              <w:bottom w:w="57" w:type="dxa"/>
            </w:tcMar>
          </w:tcPr>
          <w:p w:rsidR="004B4545" w:rsidRPr="00290D73" w:rsidRDefault="00F85C17" w:rsidP="00290D73">
            <w:pPr>
              <w:spacing w:after="80" w:line="220" w:lineRule="exact"/>
              <w:ind w:left="40" w:right="74"/>
              <w:jc w:val="both"/>
              <w:rPr>
                <w:sz w:val="17"/>
                <w:szCs w:val="17"/>
              </w:rPr>
            </w:pPr>
            <w:r w:rsidRPr="00290D73">
              <w:rPr>
                <w:rFonts w:cs="Calibri"/>
                <w:sz w:val="17"/>
                <w:szCs w:val="17"/>
              </w:rPr>
              <w:t>Οι προβλέψεις δανείων κατά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3μηνο 2020, ανήλθαν σε €438εκατ. σε σύγκριση με €186εκατ.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 xml:space="preserve">3μηνο 2019. Η σημαντική αύξηση των </w:t>
            </w:r>
            <w:proofErr w:type="spellStart"/>
            <w:r w:rsidRPr="00290D73">
              <w:rPr>
                <w:rFonts w:cs="Calibri"/>
                <w:sz w:val="17"/>
                <w:szCs w:val="17"/>
              </w:rPr>
              <w:t>απομειώσεων</w:t>
            </w:r>
            <w:proofErr w:type="spellEnd"/>
            <w:r w:rsidRPr="00290D73">
              <w:rPr>
                <w:rFonts w:cs="Calibri"/>
                <w:sz w:val="17"/>
                <w:szCs w:val="17"/>
              </w:rPr>
              <w:t xml:space="preserve"> το 1</w:t>
            </w:r>
            <w:r w:rsidRPr="00290D73">
              <w:rPr>
                <w:rFonts w:cs="Calibri"/>
                <w:sz w:val="17"/>
                <w:szCs w:val="17"/>
                <w:vertAlign w:val="superscript"/>
              </w:rPr>
              <w:t>ο</w:t>
            </w:r>
            <w:r w:rsidR="00675202" w:rsidRPr="00290D73">
              <w:rPr>
                <w:rFonts w:cs="Calibri"/>
                <w:sz w:val="17"/>
                <w:szCs w:val="17"/>
              </w:rPr>
              <w:t xml:space="preserve"> </w:t>
            </w:r>
            <w:r w:rsidRPr="00290D73">
              <w:rPr>
                <w:rFonts w:cs="Calibri"/>
                <w:sz w:val="17"/>
                <w:szCs w:val="17"/>
              </w:rPr>
              <w:t xml:space="preserve">3μηνο 2020 οφείλεται στην </w:t>
            </w:r>
            <w:r w:rsidR="00EF0B80" w:rsidRPr="00290D73">
              <w:rPr>
                <w:rFonts w:cs="Calibri"/>
                <w:sz w:val="17"/>
                <w:szCs w:val="17"/>
              </w:rPr>
              <w:t>επαναξιολόγηση</w:t>
            </w:r>
            <w:r w:rsidRPr="00290D73">
              <w:rPr>
                <w:rFonts w:cs="Calibri"/>
                <w:sz w:val="17"/>
                <w:szCs w:val="17"/>
              </w:rPr>
              <w:t xml:space="preserve"> των μοντέλων του ΔΠΧΑ 9 ώστε να συμπεριλάβουν τα κατά πολύ δυσμενέστερα </w:t>
            </w:r>
            <w:r w:rsidR="00EF0B80" w:rsidRPr="00290D73">
              <w:rPr>
                <w:rFonts w:cs="Calibri"/>
                <w:sz w:val="17"/>
                <w:szCs w:val="17"/>
              </w:rPr>
              <w:t xml:space="preserve">μακροοικονομικά </w:t>
            </w:r>
            <w:r w:rsidRPr="00290D73">
              <w:rPr>
                <w:rFonts w:cs="Calibri"/>
                <w:sz w:val="17"/>
                <w:szCs w:val="17"/>
              </w:rPr>
              <w:t xml:space="preserve">σενάρια λόγω της πανδημίας του COVID-19. Ως ποσοστό των δανείων μετά από προβλέψεις, </w:t>
            </w:r>
            <w:r w:rsidR="00EF0B80" w:rsidRPr="00290D73">
              <w:rPr>
                <w:rFonts w:cs="Calibri"/>
                <w:sz w:val="17"/>
                <w:szCs w:val="17"/>
              </w:rPr>
              <w:t xml:space="preserve">οι </w:t>
            </w:r>
            <w:proofErr w:type="spellStart"/>
            <w:r w:rsidR="00EF0B80" w:rsidRPr="00290D73">
              <w:rPr>
                <w:rFonts w:cs="Calibri"/>
                <w:sz w:val="17"/>
                <w:szCs w:val="17"/>
              </w:rPr>
              <w:t>απομειώσεις</w:t>
            </w:r>
            <w:proofErr w:type="spellEnd"/>
            <w:r w:rsidR="00EF0B80" w:rsidRPr="00290D73">
              <w:rPr>
                <w:rFonts w:cs="Calibri"/>
                <w:sz w:val="17"/>
                <w:szCs w:val="17"/>
              </w:rPr>
              <w:t xml:space="preserve"> </w:t>
            </w:r>
            <w:r w:rsidRPr="00290D73">
              <w:rPr>
                <w:rFonts w:cs="Calibri"/>
                <w:sz w:val="17"/>
                <w:szCs w:val="17"/>
              </w:rPr>
              <w:t xml:space="preserve">διαμορφώθηκαν στις 260μ.β. από τις οποίες οι 192μβ σχετίζονται με </w:t>
            </w:r>
            <w:r w:rsidR="00EF0B80" w:rsidRPr="00290D73">
              <w:rPr>
                <w:rFonts w:cs="Calibri"/>
                <w:sz w:val="17"/>
                <w:szCs w:val="17"/>
              </w:rPr>
              <w:t>το οργανικό</w:t>
            </w:r>
            <w:r w:rsidRPr="00290D73">
              <w:rPr>
                <w:rFonts w:cs="Calibri"/>
                <w:sz w:val="17"/>
                <w:szCs w:val="17"/>
              </w:rPr>
              <w:t xml:space="preserve"> κόστος, </w:t>
            </w:r>
            <w:r w:rsidR="00EF0B80" w:rsidRPr="00290D73">
              <w:rPr>
                <w:rFonts w:cs="Calibri"/>
                <w:sz w:val="17"/>
                <w:szCs w:val="17"/>
              </w:rPr>
              <w:t>ενώ</w:t>
            </w:r>
            <w:r w:rsidRPr="00290D73">
              <w:rPr>
                <w:rFonts w:cs="Calibri"/>
                <w:sz w:val="17"/>
                <w:szCs w:val="17"/>
              </w:rPr>
              <w:t xml:space="preserve"> οι 68μβ με την επίπτωση του COVID-19 (όχι </w:t>
            </w:r>
            <w:proofErr w:type="spellStart"/>
            <w:r w:rsidRPr="00290D73">
              <w:rPr>
                <w:rFonts w:cs="Calibri"/>
                <w:sz w:val="17"/>
                <w:szCs w:val="17"/>
              </w:rPr>
              <w:t>ετησιοποιημένη</w:t>
            </w:r>
            <w:proofErr w:type="spellEnd"/>
            <w:r w:rsidRPr="00290D73">
              <w:rPr>
                <w:rFonts w:cs="Calibri"/>
                <w:sz w:val="17"/>
                <w:szCs w:val="17"/>
              </w:rPr>
              <w:t>). Οι προβλέψεις για άλλα στοιχεία ενεργητικού ανήλθαν σε €72εκατ., επίσης περιλαμβάνοντας τις συνέπειες του COVID-19.</w:t>
            </w:r>
          </w:p>
        </w:tc>
      </w:tr>
    </w:tbl>
    <w:p w:rsidR="00290D73" w:rsidRDefault="00290D73">
      <w:r>
        <w:br w:type="page"/>
      </w:r>
    </w:p>
    <w:tbl>
      <w:tblPr>
        <w:tblStyle w:val="TableGrid1"/>
        <w:tblpPr w:leftFromText="180" w:rightFromText="180" w:vertAnchor="text" w:horzAnchor="page" w:tblpX="2133" w:tblpY="36"/>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72"/>
      </w:tblGrid>
      <w:tr w:rsidR="004B4545" w:rsidRPr="00463A30" w:rsidTr="00290D73">
        <w:trPr>
          <w:trHeight w:val="145"/>
        </w:trPr>
        <w:tc>
          <w:tcPr>
            <w:tcW w:w="1985" w:type="dxa"/>
            <w:tcMar>
              <w:top w:w="57" w:type="dxa"/>
              <w:bottom w:w="57" w:type="dxa"/>
            </w:tcMar>
          </w:tcPr>
          <w:p w:rsidR="004B4545" w:rsidRPr="00463A30" w:rsidRDefault="00463A30" w:rsidP="00290D73">
            <w:pPr>
              <w:tabs>
                <w:tab w:val="left" w:pos="8262"/>
              </w:tabs>
              <w:spacing w:after="60"/>
              <w:ind w:right="74"/>
              <w:contextualSpacing/>
              <w:rPr>
                <w:rFonts w:eastAsiaTheme="minorEastAsia" w:cs="Calibri"/>
                <w:i/>
                <w:color w:val="6691AB"/>
                <w:sz w:val="20"/>
                <w:szCs w:val="20"/>
              </w:rPr>
            </w:pPr>
            <w:r w:rsidRPr="00463A30">
              <w:rPr>
                <w:rFonts w:eastAsiaTheme="minorEastAsia" w:cs="Calibri"/>
                <w:i/>
                <w:color w:val="6691AB"/>
                <w:sz w:val="20"/>
                <w:szCs w:val="20"/>
              </w:rPr>
              <w:lastRenderedPageBreak/>
              <w:t>Αποτελ</w:t>
            </w:r>
            <w:r>
              <w:rPr>
                <w:rFonts w:eastAsiaTheme="minorEastAsia" w:cs="Calibri"/>
                <w:i/>
                <w:color w:val="6691AB"/>
                <w:sz w:val="20"/>
                <w:szCs w:val="20"/>
              </w:rPr>
              <w:t xml:space="preserve">έσματα επιβαρυμένα από τις επιπτώσεις του </w:t>
            </w:r>
            <w:r>
              <w:rPr>
                <w:rFonts w:eastAsiaTheme="minorEastAsia" w:cs="Calibri"/>
                <w:i/>
                <w:color w:val="6691AB"/>
                <w:sz w:val="20"/>
                <w:szCs w:val="20"/>
                <w:lang w:val="en-US"/>
              </w:rPr>
              <w:t>COVID</w:t>
            </w:r>
            <w:r w:rsidRPr="00463A30">
              <w:rPr>
                <w:rFonts w:eastAsiaTheme="minorEastAsia" w:cs="Calibri"/>
                <w:i/>
                <w:color w:val="6691AB"/>
                <w:sz w:val="20"/>
                <w:szCs w:val="20"/>
              </w:rPr>
              <w:t>-19</w:t>
            </w:r>
            <w:r w:rsidR="004B4545" w:rsidRPr="00463A30">
              <w:rPr>
                <w:rFonts w:eastAsiaTheme="minorEastAsia" w:cs="Calibri"/>
                <w:i/>
                <w:color w:val="6691AB"/>
                <w:sz w:val="20"/>
                <w:szCs w:val="20"/>
              </w:rPr>
              <w:t xml:space="preserve">  </w:t>
            </w:r>
          </w:p>
          <w:p w:rsidR="004B4545" w:rsidRPr="00463A30" w:rsidRDefault="004B4545" w:rsidP="00290D73">
            <w:pPr>
              <w:tabs>
                <w:tab w:val="left" w:pos="8262"/>
              </w:tabs>
              <w:spacing w:after="60"/>
              <w:ind w:right="74"/>
              <w:contextualSpacing/>
              <w:rPr>
                <w:rFonts w:cs="Calibri"/>
                <w:b/>
                <w:i/>
                <w:sz w:val="24"/>
                <w:szCs w:val="24"/>
              </w:rPr>
            </w:pPr>
          </w:p>
        </w:tc>
        <w:tc>
          <w:tcPr>
            <w:tcW w:w="7272" w:type="dxa"/>
            <w:tcMar>
              <w:top w:w="57" w:type="dxa"/>
              <w:bottom w:w="57" w:type="dxa"/>
            </w:tcMar>
          </w:tcPr>
          <w:p w:rsidR="004B4545" w:rsidRPr="00290D73" w:rsidRDefault="009B7A12" w:rsidP="00290D73">
            <w:pPr>
              <w:spacing w:after="80" w:line="220" w:lineRule="exact"/>
              <w:ind w:right="74"/>
              <w:jc w:val="both"/>
              <w:rPr>
                <w:rFonts w:cs="Calibri"/>
                <w:sz w:val="17"/>
                <w:szCs w:val="17"/>
              </w:rPr>
            </w:pPr>
            <w:r w:rsidRPr="00290D73">
              <w:rPr>
                <w:rFonts w:cs="Calibri"/>
                <w:sz w:val="17"/>
                <w:szCs w:val="17"/>
              </w:rPr>
              <w:t xml:space="preserve">Το </w:t>
            </w:r>
            <w:proofErr w:type="spellStart"/>
            <w:r w:rsidRPr="00290D73">
              <w:rPr>
                <w:rFonts w:cs="Calibri"/>
                <w:sz w:val="17"/>
                <w:szCs w:val="17"/>
              </w:rPr>
              <w:t>πρό</w:t>
            </w:r>
            <w:proofErr w:type="spellEnd"/>
            <w:r w:rsidRPr="00290D73">
              <w:rPr>
                <w:rFonts w:cs="Calibri"/>
                <w:sz w:val="17"/>
                <w:szCs w:val="17"/>
              </w:rPr>
              <w:t xml:space="preserve"> φόρων αποτέλεσμα </w:t>
            </w:r>
            <w:r w:rsidR="00F85C17" w:rsidRPr="00290D73">
              <w:rPr>
                <w:rFonts w:cs="Calibri"/>
                <w:sz w:val="17"/>
                <w:szCs w:val="17"/>
              </w:rPr>
              <w:t xml:space="preserve"> του Ομίλου κατά το 1</w:t>
            </w:r>
            <w:r w:rsidR="00F85C17" w:rsidRPr="00290D73">
              <w:rPr>
                <w:rFonts w:cs="Calibri"/>
                <w:sz w:val="17"/>
                <w:szCs w:val="17"/>
                <w:vertAlign w:val="superscript"/>
              </w:rPr>
              <w:t>ο</w:t>
            </w:r>
            <w:r w:rsidR="00675202" w:rsidRPr="00290D73">
              <w:rPr>
                <w:rFonts w:cs="Calibri"/>
                <w:sz w:val="17"/>
                <w:szCs w:val="17"/>
              </w:rPr>
              <w:t xml:space="preserve"> </w:t>
            </w:r>
            <w:r w:rsidR="00F85C17" w:rsidRPr="00290D73">
              <w:rPr>
                <w:rFonts w:cs="Calibri"/>
                <w:sz w:val="17"/>
                <w:szCs w:val="17"/>
              </w:rPr>
              <w:t>3μηνο 2020 ανήλθ</w:t>
            </w:r>
            <w:r w:rsidR="002D2F29" w:rsidRPr="00290D73">
              <w:rPr>
                <w:rFonts w:cs="Calibri"/>
                <w:sz w:val="17"/>
                <w:szCs w:val="17"/>
              </w:rPr>
              <w:t>ε</w:t>
            </w:r>
            <w:r w:rsidR="00F85C17" w:rsidRPr="00290D73">
              <w:rPr>
                <w:rFonts w:cs="Calibri"/>
                <w:sz w:val="17"/>
                <w:szCs w:val="17"/>
              </w:rPr>
              <w:t xml:space="preserve"> σε</w:t>
            </w:r>
            <w:r w:rsidRPr="00290D73">
              <w:rPr>
                <w:rFonts w:cs="Calibri"/>
                <w:sz w:val="17"/>
                <w:szCs w:val="17"/>
              </w:rPr>
              <w:t xml:space="preserve"> ζημία </w:t>
            </w:r>
            <w:r w:rsidR="00F85C17" w:rsidRPr="00290D73">
              <w:rPr>
                <w:rFonts w:cs="Calibri"/>
                <w:sz w:val="17"/>
                <w:szCs w:val="17"/>
              </w:rPr>
              <w:t>€340εκατ. έναντι προ φόρων κερδών €23εκατ. το 1</w:t>
            </w:r>
            <w:r w:rsidR="00F85C17" w:rsidRPr="00290D73">
              <w:rPr>
                <w:rFonts w:cs="Calibri"/>
                <w:sz w:val="17"/>
                <w:szCs w:val="17"/>
                <w:vertAlign w:val="superscript"/>
              </w:rPr>
              <w:t>ο</w:t>
            </w:r>
            <w:r w:rsidR="00675202" w:rsidRPr="00290D73">
              <w:rPr>
                <w:rFonts w:cs="Calibri"/>
                <w:sz w:val="17"/>
                <w:szCs w:val="17"/>
              </w:rPr>
              <w:t xml:space="preserve"> </w:t>
            </w:r>
            <w:r w:rsidR="00F85C17" w:rsidRPr="00290D73">
              <w:rPr>
                <w:rFonts w:cs="Calibri"/>
                <w:sz w:val="17"/>
                <w:szCs w:val="17"/>
              </w:rPr>
              <w:t>3μηνο 2019. Σε επαναλαμβανόμενη βάση, εξαιρουμένων των συνεπειών του C</w:t>
            </w:r>
            <w:r w:rsidR="00F85C17" w:rsidRPr="00290D73">
              <w:rPr>
                <w:rFonts w:cs="Calibri"/>
                <w:sz w:val="17"/>
                <w:szCs w:val="17"/>
                <w:lang w:val="en-US"/>
              </w:rPr>
              <w:t>OVID</w:t>
            </w:r>
            <w:r w:rsidR="00F85C17" w:rsidRPr="00290D73">
              <w:rPr>
                <w:rFonts w:cs="Calibri"/>
                <w:sz w:val="17"/>
                <w:szCs w:val="17"/>
              </w:rPr>
              <w:t>-19, τα προ-φόρων κέρδη ανήλθαν σε €30εκατ. έναντι €23εκατ. το 1</w:t>
            </w:r>
            <w:r w:rsidR="00F85C17" w:rsidRPr="00290D73">
              <w:rPr>
                <w:rFonts w:cs="Calibri"/>
                <w:sz w:val="17"/>
                <w:szCs w:val="17"/>
                <w:vertAlign w:val="superscript"/>
              </w:rPr>
              <w:t>ο</w:t>
            </w:r>
            <w:r w:rsidR="00AD46A9" w:rsidRPr="00290D73">
              <w:rPr>
                <w:rFonts w:cs="Calibri"/>
                <w:sz w:val="17"/>
                <w:szCs w:val="17"/>
              </w:rPr>
              <w:t xml:space="preserve"> </w:t>
            </w:r>
            <w:r w:rsidR="00481194" w:rsidRPr="00290D73">
              <w:rPr>
                <w:rFonts w:cs="Calibri"/>
                <w:sz w:val="17"/>
                <w:szCs w:val="17"/>
              </w:rPr>
              <w:t>3μηνο 2019</w:t>
            </w:r>
            <w:r w:rsidR="00F85C17" w:rsidRPr="00290D73">
              <w:rPr>
                <w:rFonts w:cs="Calibri"/>
                <w:sz w:val="17"/>
                <w:szCs w:val="17"/>
              </w:rPr>
              <w:t>. Τ</w:t>
            </w:r>
            <w:r w:rsidRPr="00290D73">
              <w:rPr>
                <w:rFonts w:cs="Calibri"/>
                <w:sz w:val="17"/>
                <w:szCs w:val="17"/>
              </w:rPr>
              <w:t>ο</w:t>
            </w:r>
            <w:r w:rsidR="00F85C17" w:rsidRPr="00290D73">
              <w:rPr>
                <w:rFonts w:cs="Calibri"/>
                <w:sz w:val="17"/>
                <w:szCs w:val="17"/>
              </w:rPr>
              <w:t xml:space="preserve"> καθαρ</w:t>
            </w:r>
            <w:r w:rsidRPr="00290D73">
              <w:rPr>
                <w:rFonts w:cs="Calibri"/>
                <w:sz w:val="17"/>
                <w:szCs w:val="17"/>
              </w:rPr>
              <w:t>ό</w:t>
            </w:r>
            <w:r w:rsidR="00F85C17" w:rsidRPr="00290D73">
              <w:rPr>
                <w:rFonts w:cs="Calibri"/>
                <w:sz w:val="17"/>
                <w:szCs w:val="17"/>
              </w:rPr>
              <w:t xml:space="preserve"> </w:t>
            </w:r>
            <w:r w:rsidRPr="00290D73">
              <w:rPr>
                <w:rFonts w:cs="Calibri"/>
                <w:sz w:val="17"/>
                <w:szCs w:val="17"/>
              </w:rPr>
              <w:t xml:space="preserve">αποτέλεσμα του Ομίλου ανήλθε </w:t>
            </w:r>
            <w:r w:rsidR="00F85C17" w:rsidRPr="00290D73">
              <w:rPr>
                <w:rFonts w:cs="Calibri"/>
                <w:sz w:val="17"/>
                <w:szCs w:val="17"/>
              </w:rPr>
              <w:t>σε ζημί</w:t>
            </w:r>
            <w:r w:rsidRPr="00290D73">
              <w:rPr>
                <w:rFonts w:cs="Calibri"/>
                <w:sz w:val="17"/>
                <w:szCs w:val="17"/>
              </w:rPr>
              <w:t>α</w:t>
            </w:r>
            <w:r w:rsidR="00F85C17" w:rsidRPr="00290D73">
              <w:rPr>
                <w:rFonts w:cs="Calibri"/>
                <w:sz w:val="17"/>
                <w:szCs w:val="17"/>
              </w:rPr>
              <w:t xml:space="preserve"> ύψους €23</w:t>
            </w:r>
            <w:r w:rsidR="00984A74" w:rsidRPr="00290D73">
              <w:rPr>
                <w:rFonts w:cs="Calibri"/>
                <w:sz w:val="17"/>
                <w:szCs w:val="17"/>
              </w:rPr>
              <w:t>2</w:t>
            </w:r>
            <w:r w:rsidR="00F85C17" w:rsidRPr="00290D73">
              <w:rPr>
                <w:rFonts w:cs="Calibri"/>
                <w:sz w:val="17"/>
                <w:szCs w:val="17"/>
              </w:rPr>
              <w:t>εκατ. το 1</w:t>
            </w:r>
            <w:r w:rsidR="00F85C17" w:rsidRPr="00290D73">
              <w:rPr>
                <w:rFonts w:cs="Calibri"/>
                <w:sz w:val="17"/>
                <w:szCs w:val="17"/>
                <w:vertAlign w:val="superscript"/>
              </w:rPr>
              <w:t>ο</w:t>
            </w:r>
            <w:r w:rsidR="00AD46A9" w:rsidRPr="00290D73">
              <w:rPr>
                <w:rFonts w:cs="Calibri"/>
                <w:sz w:val="17"/>
                <w:szCs w:val="17"/>
              </w:rPr>
              <w:t xml:space="preserve"> </w:t>
            </w:r>
            <w:r w:rsidR="00F85C17" w:rsidRPr="00290D73">
              <w:rPr>
                <w:rFonts w:cs="Calibri"/>
                <w:sz w:val="17"/>
                <w:szCs w:val="17"/>
              </w:rPr>
              <w:t>3μηνο 2020 σε σύγκριση με καθαρά κέρδη ύψους €14εκατ. το 1</w:t>
            </w:r>
            <w:r w:rsidR="00F85C17" w:rsidRPr="00290D73">
              <w:rPr>
                <w:rFonts w:cs="Calibri"/>
                <w:sz w:val="17"/>
                <w:szCs w:val="17"/>
                <w:vertAlign w:val="superscript"/>
              </w:rPr>
              <w:t>ο</w:t>
            </w:r>
            <w:r w:rsidR="00AD46A9" w:rsidRPr="00290D73">
              <w:rPr>
                <w:rFonts w:cs="Calibri"/>
                <w:sz w:val="17"/>
                <w:szCs w:val="17"/>
              </w:rPr>
              <w:t xml:space="preserve"> </w:t>
            </w:r>
            <w:r w:rsidR="00F85C17" w:rsidRPr="00290D73">
              <w:rPr>
                <w:rFonts w:cs="Calibri"/>
                <w:sz w:val="17"/>
                <w:szCs w:val="17"/>
              </w:rPr>
              <w:t>3μηνο 2019.</w:t>
            </w:r>
          </w:p>
          <w:p w:rsidR="009B7A12" w:rsidRPr="00290D73" w:rsidRDefault="009B7A12" w:rsidP="00290D73">
            <w:pPr>
              <w:spacing w:after="80" w:line="220" w:lineRule="exact"/>
              <w:ind w:right="74"/>
              <w:jc w:val="both"/>
              <w:rPr>
                <w:rFonts w:cs="Calibri"/>
                <w:sz w:val="17"/>
                <w:szCs w:val="17"/>
              </w:rPr>
            </w:pPr>
            <w:r w:rsidRPr="00290D73">
              <w:rPr>
                <w:rFonts w:cs="Calibri"/>
                <w:sz w:val="17"/>
                <w:szCs w:val="17"/>
              </w:rPr>
              <w:t>Σημειώνεται η επίπτωση λόγω COVID-19 για το 1</w:t>
            </w:r>
            <w:r w:rsidRPr="00290D73">
              <w:rPr>
                <w:rFonts w:cs="Calibri"/>
                <w:sz w:val="17"/>
                <w:szCs w:val="17"/>
                <w:vertAlign w:val="superscript"/>
              </w:rPr>
              <w:t>ο</w:t>
            </w:r>
            <w:r w:rsidRPr="00290D73">
              <w:rPr>
                <w:rFonts w:cs="Calibri"/>
                <w:sz w:val="17"/>
                <w:szCs w:val="17"/>
              </w:rPr>
              <w:t xml:space="preserve"> 3μηνο 2020 ανέρχεται σε €370 εκατ.  (€324 εκατ.  </w:t>
            </w:r>
            <w:proofErr w:type="spellStart"/>
            <w:r w:rsidRPr="00290D73">
              <w:rPr>
                <w:rFonts w:cs="Calibri"/>
                <w:sz w:val="17"/>
                <w:szCs w:val="17"/>
              </w:rPr>
              <w:t>απομειώσεις</w:t>
            </w:r>
            <w:proofErr w:type="spellEnd"/>
            <w:r w:rsidRPr="00290D73">
              <w:rPr>
                <w:rFonts w:cs="Calibri"/>
                <w:sz w:val="17"/>
                <w:szCs w:val="17"/>
              </w:rPr>
              <w:t xml:space="preserve"> και χρηματοοικονομικό αποτέλεσμα €46 εκατ.). Οι αντίστοιχες επιπτώσεις στις Οικονομικές Καταστάσεις του Ομίλου ανέρχονται σε €351 εκατ., εξαιρουμένου του κέρδους € 19 εκ</w:t>
            </w:r>
            <w:r w:rsidR="00481194" w:rsidRPr="00290D73">
              <w:rPr>
                <w:rFonts w:cs="Calibri"/>
                <w:sz w:val="17"/>
                <w:szCs w:val="17"/>
              </w:rPr>
              <w:t>ατ</w:t>
            </w:r>
            <w:r w:rsidRPr="00290D73">
              <w:rPr>
                <w:rFonts w:cs="Calibri"/>
                <w:sz w:val="17"/>
                <w:szCs w:val="17"/>
              </w:rPr>
              <w:t xml:space="preserve">. </w:t>
            </w:r>
            <w:r w:rsidR="00481194" w:rsidRPr="00290D73">
              <w:rPr>
                <w:rFonts w:cs="Calibri"/>
                <w:sz w:val="17"/>
                <w:szCs w:val="17"/>
              </w:rPr>
              <w:t>π</w:t>
            </w:r>
            <w:r w:rsidRPr="00290D73">
              <w:rPr>
                <w:rFonts w:cs="Calibri"/>
                <w:sz w:val="17"/>
                <w:szCs w:val="17"/>
              </w:rPr>
              <w:t xml:space="preserve">ου πραγματοποιήθηκε στα </w:t>
            </w:r>
            <w:proofErr w:type="spellStart"/>
            <w:r w:rsidRPr="00290D73">
              <w:rPr>
                <w:rFonts w:cs="Calibri"/>
                <w:sz w:val="17"/>
                <w:szCs w:val="17"/>
              </w:rPr>
              <w:t>χρηματοοικονομικα</w:t>
            </w:r>
            <w:proofErr w:type="spellEnd"/>
            <w:r w:rsidRPr="00290D73">
              <w:rPr>
                <w:rFonts w:cs="Calibri"/>
                <w:sz w:val="17"/>
                <w:szCs w:val="17"/>
              </w:rPr>
              <w:t xml:space="preserve"> έσοδα την </w:t>
            </w:r>
            <w:proofErr w:type="spellStart"/>
            <w:r w:rsidRPr="00290D73">
              <w:rPr>
                <w:rFonts w:cs="Calibri"/>
                <w:sz w:val="17"/>
                <w:szCs w:val="17"/>
              </w:rPr>
              <w:t>περίδοο</w:t>
            </w:r>
            <w:proofErr w:type="spellEnd"/>
            <w:r w:rsidRPr="00290D73">
              <w:rPr>
                <w:rFonts w:cs="Calibri"/>
                <w:sz w:val="17"/>
                <w:szCs w:val="17"/>
              </w:rPr>
              <w:t xml:space="preserve"> 01.01.20-21.02.20</w:t>
            </w:r>
            <w:r w:rsidR="00481194" w:rsidRPr="00290D73">
              <w:rPr>
                <w:rFonts w:cs="Calibri"/>
                <w:sz w:val="17"/>
                <w:szCs w:val="17"/>
              </w:rPr>
              <w:t>.</w:t>
            </w:r>
          </w:p>
          <w:p w:rsidR="00F85C17" w:rsidRPr="00290D73" w:rsidRDefault="00F85C17" w:rsidP="00290D73">
            <w:pPr>
              <w:spacing w:after="80" w:line="220" w:lineRule="exact"/>
              <w:ind w:right="74"/>
              <w:jc w:val="both"/>
              <w:rPr>
                <w:sz w:val="17"/>
                <w:szCs w:val="17"/>
              </w:rPr>
            </w:pPr>
          </w:p>
        </w:tc>
      </w:tr>
    </w:tbl>
    <w:p w:rsidR="00EA2DBD" w:rsidRPr="009B7A12" w:rsidRDefault="00F26BB8" w:rsidP="007B6DC3">
      <w:pPr>
        <w:pStyle w:val="Default"/>
        <w:ind w:left="-709" w:right="-285"/>
        <w:jc w:val="both"/>
        <w:rPr>
          <w:rFonts w:eastAsiaTheme="minorEastAsia"/>
          <w:color w:val="003C96" w:themeColor="text2"/>
          <w:sz w:val="14"/>
          <w:szCs w:val="14"/>
        </w:rPr>
      </w:pPr>
      <w:r w:rsidRPr="009B7A12">
        <w:rPr>
          <w:sz w:val="14"/>
          <w:szCs w:val="14"/>
        </w:rPr>
        <w:t xml:space="preserve">Για πληρέστερη αναφορά σχετικά με χρηματοοικονομικά στοιχεία και δείκτες της Τράπεζας Πειραιώς </w:t>
      </w:r>
      <w:r w:rsidR="00B64CF0" w:rsidRPr="009B7A12">
        <w:rPr>
          <w:sz w:val="14"/>
          <w:szCs w:val="14"/>
        </w:rPr>
        <w:t xml:space="preserve">παρακαλούμε δείτε </w:t>
      </w:r>
      <w:hyperlink r:id="rId11" w:history="1">
        <w:r w:rsidRPr="009B7A12">
          <w:rPr>
            <w:rStyle w:val="Hyperlink"/>
            <w:sz w:val="14"/>
            <w:szCs w:val="14"/>
          </w:rPr>
          <w:t>Παρουσίαση Αποτελεσμάτων 1</w:t>
        </w:r>
        <w:r w:rsidRPr="009B7A12">
          <w:rPr>
            <w:rStyle w:val="Hyperlink"/>
            <w:sz w:val="14"/>
            <w:szCs w:val="14"/>
            <w:vertAlign w:val="superscript"/>
          </w:rPr>
          <w:t>ου</w:t>
        </w:r>
        <w:r w:rsidRPr="009B7A12">
          <w:rPr>
            <w:rStyle w:val="Hyperlink"/>
            <w:sz w:val="14"/>
            <w:szCs w:val="14"/>
          </w:rPr>
          <w:t xml:space="preserve"> 3μήνου 2020</w:t>
        </w:r>
      </w:hyperlink>
      <w:r w:rsidRPr="009B7A12">
        <w:rPr>
          <w:sz w:val="14"/>
          <w:szCs w:val="14"/>
        </w:rPr>
        <w:t xml:space="preserve"> κ</w:t>
      </w:r>
      <w:r w:rsidR="00B64CF0" w:rsidRPr="009B7A12">
        <w:rPr>
          <w:sz w:val="14"/>
          <w:szCs w:val="14"/>
        </w:rPr>
        <w:t>α</w:t>
      </w:r>
      <w:r w:rsidRPr="009B7A12">
        <w:rPr>
          <w:sz w:val="14"/>
          <w:szCs w:val="14"/>
        </w:rPr>
        <w:t xml:space="preserve">ι </w:t>
      </w:r>
      <w:hyperlink r:id="rId12" w:history="1">
        <w:r w:rsidRPr="009B7A12">
          <w:rPr>
            <w:rStyle w:val="Hyperlink"/>
            <w:sz w:val="14"/>
            <w:szCs w:val="14"/>
          </w:rPr>
          <w:t>Ενοποιημένη Ενδιάμεση  Χρηματοοικονομική Πληροφόρηση</w:t>
        </w:r>
      </w:hyperlink>
    </w:p>
    <w:p w:rsidR="009E200F" w:rsidRPr="00F26BB8" w:rsidRDefault="009E200F" w:rsidP="009E200F">
      <w:pPr>
        <w:tabs>
          <w:tab w:val="left" w:pos="8262"/>
        </w:tabs>
        <w:spacing w:before="120" w:after="120" w:line="240" w:lineRule="auto"/>
        <w:ind w:left="-426" w:right="-285" w:firstLine="142"/>
        <w:contextualSpacing/>
        <w:jc w:val="right"/>
        <w:rPr>
          <w:rFonts w:eastAsia="Times New Roman" w:cs="Calibri"/>
          <w:b/>
          <w:i/>
          <w:color w:val="003C96" w:themeColor="text2"/>
          <w:sz w:val="25"/>
          <w:szCs w:val="25"/>
        </w:rPr>
      </w:pPr>
    </w:p>
    <w:p w:rsidR="009B7A12" w:rsidRDefault="009B7A12">
      <w:pPr>
        <w:rPr>
          <w:rFonts w:eastAsia="Times New Roman" w:cs="Calibri"/>
          <w:b/>
          <w:i/>
          <w:color w:val="6691AB"/>
          <w:sz w:val="27"/>
          <w:szCs w:val="27"/>
        </w:rPr>
      </w:pPr>
      <w:r>
        <w:rPr>
          <w:rFonts w:eastAsia="Times New Roman" w:cs="Calibri"/>
          <w:b/>
          <w:i/>
          <w:color w:val="6691AB"/>
          <w:sz w:val="27"/>
          <w:szCs w:val="27"/>
        </w:rPr>
        <w:br w:type="page"/>
      </w:r>
    </w:p>
    <w:p w:rsidR="00A947F2" w:rsidRPr="00A947F2" w:rsidRDefault="00A947F2" w:rsidP="00A947F2">
      <w:pPr>
        <w:framePr w:w="9610" w:h="691" w:hRule="exact" w:hSpace="180" w:wrap="around" w:vAnchor="page" w:hAnchor="page" w:x="2304" w:y="2835"/>
        <w:shd w:val="clear" w:color="auto" w:fill="FFFFFF" w:themeFill="background1"/>
        <w:tabs>
          <w:tab w:val="left" w:pos="9214"/>
        </w:tabs>
        <w:spacing w:after="40" w:line="300" w:lineRule="exact"/>
        <w:ind w:left="-142" w:right="284"/>
        <w:rPr>
          <w:rFonts w:eastAsia="Times New Roman" w:cs="Calibri"/>
          <w:b/>
          <w:i/>
          <w:color w:val="6691AB"/>
          <w:sz w:val="27"/>
          <w:szCs w:val="27"/>
        </w:rPr>
      </w:pPr>
      <w:r>
        <w:rPr>
          <w:rFonts w:eastAsia="Times New Roman" w:cs="Calibri"/>
          <w:b/>
          <w:i/>
          <w:color w:val="6691AB"/>
          <w:sz w:val="27"/>
          <w:szCs w:val="27"/>
        </w:rPr>
        <w:lastRenderedPageBreak/>
        <w:t>Βασικά</w:t>
      </w:r>
      <w:r w:rsidRPr="00A947F2">
        <w:rPr>
          <w:rFonts w:eastAsia="Times New Roman" w:cs="Calibri"/>
          <w:b/>
          <w:i/>
          <w:color w:val="6691AB"/>
          <w:sz w:val="27"/>
          <w:szCs w:val="27"/>
        </w:rPr>
        <w:t xml:space="preserve"> </w:t>
      </w:r>
      <w:r>
        <w:rPr>
          <w:rFonts w:eastAsia="Times New Roman" w:cs="Calibri"/>
          <w:b/>
          <w:i/>
          <w:color w:val="6691AB"/>
          <w:sz w:val="27"/>
          <w:szCs w:val="27"/>
        </w:rPr>
        <w:t>Σημεία</w:t>
      </w:r>
      <w:r w:rsidRPr="00A947F2">
        <w:rPr>
          <w:rFonts w:eastAsia="Times New Roman" w:cs="Calibri"/>
          <w:b/>
          <w:i/>
          <w:color w:val="6691AB"/>
          <w:sz w:val="27"/>
          <w:szCs w:val="27"/>
        </w:rPr>
        <w:t xml:space="preserve"> </w:t>
      </w:r>
      <w:r>
        <w:rPr>
          <w:rFonts w:eastAsia="Times New Roman" w:cs="Calibri"/>
          <w:b/>
          <w:i/>
          <w:color w:val="6691AB"/>
          <w:sz w:val="27"/>
          <w:szCs w:val="27"/>
        </w:rPr>
        <w:t>Ισολογισμού</w:t>
      </w:r>
      <w:r w:rsidRPr="00A947F2">
        <w:rPr>
          <w:rFonts w:eastAsia="Times New Roman" w:cs="Calibri"/>
          <w:b/>
          <w:i/>
          <w:color w:val="6691AB"/>
          <w:sz w:val="27"/>
          <w:szCs w:val="27"/>
        </w:rPr>
        <w:t xml:space="preserve">: </w:t>
      </w:r>
      <w:r>
        <w:rPr>
          <w:rFonts w:eastAsia="Times New Roman" w:cs="Calibri"/>
          <w:b/>
          <w:i/>
          <w:color w:val="6691AB"/>
          <w:sz w:val="27"/>
          <w:szCs w:val="27"/>
        </w:rPr>
        <w:t>Πιστωτική</w:t>
      </w:r>
      <w:r w:rsidRPr="00A947F2">
        <w:rPr>
          <w:rFonts w:eastAsia="Times New Roman" w:cs="Calibri"/>
          <w:b/>
          <w:i/>
          <w:color w:val="6691AB"/>
          <w:sz w:val="27"/>
          <w:szCs w:val="27"/>
        </w:rPr>
        <w:t xml:space="preserve"> </w:t>
      </w:r>
      <w:r>
        <w:rPr>
          <w:rFonts w:eastAsia="Times New Roman" w:cs="Calibri"/>
          <w:b/>
          <w:i/>
          <w:color w:val="6691AB"/>
          <w:sz w:val="27"/>
          <w:szCs w:val="27"/>
        </w:rPr>
        <w:t>Επέκταση κι Ισχυρή Ρευστότητα</w:t>
      </w:r>
      <w:r w:rsidRPr="00A947F2">
        <w:rPr>
          <w:rFonts w:eastAsia="Times New Roman" w:cs="Calibri"/>
          <w:b/>
          <w:i/>
          <w:color w:val="6691AB"/>
          <w:sz w:val="27"/>
          <w:szCs w:val="27"/>
        </w:rPr>
        <w:t xml:space="preserve"> </w:t>
      </w:r>
    </w:p>
    <w:p w:rsidR="00A947F2" w:rsidRPr="00A947F2" w:rsidRDefault="00A947F2" w:rsidP="00A947F2">
      <w:pPr>
        <w:framePr w:w="9610" w:h="691" w:hRule="exact" w:hSpace="180" w:wrap="around" w:vAnchor="page" w:hAnchor="page" w:x="2304" w:y="2835"/>
        <w:shd w:val="clear" w:color="auto" w:fill="FFFFFF" w:themeFill="background1"/>
        <w:tabs>
          <w:tab w:val="left" w:pos="9214"/>
        </w:tabs>
        <w:spacing w:after="40" w:line="300" w:lineRule="exact"/>
        <w:ind w:left="-142" w:right="284"/>
        <w:rPr>
          <w:rFonts w:eastAsia="Times New Roman" w:cs="Calibri"/>
          <w:b/>
          <w:i/>
          <w:color w:val="003C96" w:themeColor="text2"/>
          <w:sz w:val="27"/>
          <w:szCs w:val="27"/>
        </w:rPr>
      </w:pPr>
    </w:p>
    <w:p w:rsidR="00A947F2" w:rsidRPr="00A947F2" w:rsidRDefault="00A947F2" w:rsidP="00A947F2">
      <w:pPr>
        <w:framePr w:w="9610" w:h="691" w:hRule="exact" w:hSpace="180" w:wrap="around" w:vAnchor="page" w:hAnchor="page" w:x="2304" w:y="2835"/>
        <w:tabs>
          <w:tab w:val="left" w:pos="8262"/>
        </w:tabs>
        <w:spacing w:before="40" w:after="40" w:line="264" w:lineRule="auto"/>
        <w:ind w:left="7" w:right="301"/>
        <w:rPr>
          <w:rFonts w:eastAsia="Times New Roman" w:cs="Calibri"/>
          <w:b/>
          <w:i/>
          <w:color w:val="003C96" w:themeColor="text2"/>
          <w:sz w:val="25"/>
          <w:szCs w:val="25"/>
        </w:rPr>
      </w:pPr>
    </w:p>
    <w:p w:rsidR="00A947F2" w:rsidRPr="00A947F2" w:rsidRDefault="00A947F2" w:rsidP="00A947F2">
      <w:pPr>
        <w:framePr w:w="9610" w:h="691" w:hRule="exact" w:hSpace="180" w:wrap="around" w:vAnchor="page" w:hAnchor="page" w:x="2304" w:y="2835"/>
        <w:tabs>
          <w:tab w:val="left" w:pos="993"/>
        </w:tabs>
        <w:spacing w:after="240" w:line="240" w:lineRule="auto"/>
        <w:ind w:right="113"/>
        <w:rPr>
          <w:rFonts w:eastAsiaTheme="minorEastAsia" w:cs="Calibri"/>
          <w:color w:val="003C96" w:themeColor="text2"/>
          <w:sz w:val="28"/>
          <w:szCs w:val="28"/>
        </w:rPr>
      </w:pPr>
    </w:p>
    <w:p w:rsidR="00A74A6F" w:rsidRPr="00A947F2" w:rsidRDefault="00A74A6F" w:rsidP="009B7A12">
      <w:pPr>
        <w:tabs>
          <w:tab w:val="left" w:pos="8262"/>
        </w:tabs>
        <w:spacing w:before="120" w:after="120" w:line="240" w:lineRule="auto"/>
        <w:ind w:right="-285"/>
        <w:contextualSpacing/>
      </w:pPr>
    </w:p>
    <w:tbl>
      <w:tblPr>
        <w:tblStyle w:val="TableGrid1"/>
        <w:tblpPr w:leftFromText="180" w:rightFromText="180" w:vertAnchor="page" w:horzAnchor="page" w:tblpX="2294" w:tblpY="3515"/>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982"/>
      </w:tblGrid>
      <w:tr w:rsidR="00B041FB" w:rsidRPr="00CD1B3C" w:rsidTr="0092279A">
        <w:trPr>
          <w:trHeight w:val="501"/>
        </w:trPr>
        <w:tc>
          <w:tcPr>
            <w:tcW w:w="1982" w:type="dxa"/>
            <w:tcMar>
              <w:top w:w="57" w:type="dxa"/>
              <w:bottom w:w="57" w:type="dxa"/>
            </w:tcMar>
          </w:tcPr>
          <w:p w:rsidR="00B041FB" w:rsidRPr="008E7F1C" w:rsidRDefault="008E7F1C" w:rsidP="008E7F1C">
            <w:pPr>
              <w:tabs>
                <w:tab w:val="left" w:pos="8262"/>
              </w:tabs>
              <w:spacing w:after="60"/>
              <w:ind w:left="32" w:right="74"/>
              <w:contextualSpacing/>
              <w:rPr>
                <w:rFonts w:eastAsiaTheme="minorEastAsia" w:cs="Calibri"/>
                <w:i/>
                <w:color w:val="6691AB"/>
              </w:rPr>
            </w:pPr>
            <w:r>
              <w:rPr>
                <w:rFonts w:eastAsiaTheme="minorEastAsia" w:cs="Calibri"/>
                <w:i/>
                <w:color w:val="6691AB"/>
              </w:rPr>
              <w:t>Καταθέσεις +</w:t>
            </w:r>
            <w:r w:rsidR="000F1DD6" w:rsidRPr="008E7F1C">
              <w:rPr>
                <w:rFonts w:eastAsiaTheme="minorEastAsia" w:cs="Calibri"/>
                <w:i/>
                <w:color w:val="6691AB"/>
              </w:rPr>
              <w:t>7</w:t>
            </w:r>
            <w:r w:rsidR="00400FE4" w:rsidRPr="008E7F1C">
              <w:rPr>
                <w:rFonts w:eastAsiaTheme="minorEastAsia" w:cs="Calibri"/>
                <w:i/>
                <w:color w:val="6691AB"/>
              </w:rPr>
              <w:t xml:space="preserve">% </w:t>
            </w:r>
            <w:r>
              <w:rPr>
                <w:rFonts w:eastAsiaTheme="minorEastAsia" w:cs="Calibri"/>
                <w:i/>
                <w:color w:val="6691AB"/>
              </w:rPr>
              <w:t>ετησίως με χαμηλότερο κόστος</w:t>
            </w:r>
          </w:p>
        </w:tc>
        <w:tc>
          <w:tcPr>
            <w:tcW w:w="6982" w:type="dxa"/>
            <w:tcMar>
              <w:top w:w="57" w:type="dxa"/>
              <w:bottom w:w="57" w:type="dxa"/>
            </w:tcMar>
          </w:tcPr>
          <w:p w:rsidR="00B041FB" w:rsidRPr="00CD1B3C" w:rsidRDefault="008F4CF7" w:rsidP="00DA7AEC">
            <w:pPr>
              <w:tabs>
                <w:tab w:val="left" w:pos="8262"/>
              </w:tabs>
              <w:spacing w:before="40" w:after="40" w:line="264" w:lineRule="auto"/>
              <w:ind w:left="7" w:right="301"/>
              <w:jc w:val="both"/>
              <w:rPr>
                <w:sz w:val="18"/>
                <w:szCs w:val="18"/>
              </w:rPr>
            </w:pPr>
            <w:r w:rsidRPr="008F4CF7">
              <w:rPr>
                <w:sz w:val="18"/>
                <w:szCs w:val="18"/>
              </w:rPr>
              <w:t>Οι καταθέσεις πελατών διαμορφώθηκαν σε €46,7δισ. στο τέλος του 1</w:t>
            </w:r>
            <w:r w:rsidRPr="00675202">
              <w:rPr>
                <w:sz w:val="18"/>
                <w:szCs w:val="18"/>
                <w:vertAlign w:val="superscript"/>
              </w:rPr>
              <w:t>ου</w:t>
            </w:r>
            <w:r w:rsidR="00675202">
              <w:rPr>
                <w:sz w:val="18"/>
                <w:szCs w:val="18"/>
              </w:rPr>
              <w:t xml:space="preserve"> </w:t>
            </w:r>
            <w:r w:rsidRPr="008F4CF7">
              <w:rPr>
                <w:sz w:val="18"/>
                <w:szCs w:val="18"/>
              </w:rPr>
              <w:t>3μήνου 2020, με αύξηση κατά 7% ετησίως. Οι καταθέσεις του ιδιωτικού τομέα αυξήθηκαν κατά €1,4δισ. από την αρχή του έτους, με βελτίωση σε όλες τις πελατειακές κατηγορίες λιανικής. Το κόστος των συνολικών καταθέσεων συνέχισε να μειώνεται το 1</w:t>
            </w:r>
            <w:r w:rsidR="00DA7AEC" w:rsidRPr="00DA7AEC">
              <w:rPr>
                <w:sz w:val="18"/>
                <w:szCs w:val="18"/>
                <w:vertAlign w:val="superscript"/>
              </w:rPr>
              <w:t>ο</w:t>
            </w:r>
            <w:r w:rsidR="00DA7AEC">
              <w:rPr>
                <w:sz w:val="18"/>
                <w:szCs w:val="18"/>
              </w:rPr>
              <w:t xml:space="preserve"> </w:t>
            </w:r>
            <w:r w:rsidRPr="008F4CF7">
              <w:rPr>
                <w:sz w:val="18"/>
                <w:szCs w:val="18"/>
              </w:rPr>
              <w:t>τρίμηνο 2020 σε 24μβ έναντι  33μβ το 4</w:t>
            </w:r>
            <w:r w:rsidRPr="00675202">
              <w:rPr>
                <w:sz w:val="18"/>
                <w:szCs w:val="18"/>
                <w:vertAlign w:val="superscript"/>
              </w:rPr>
              <w:t>ο</w:t>
            </w:r>
            <w:r w:rsidR="00675202">
              <w:rPr>
                <w:sz w:val="18"/>
                <w:szCs w:val="18"/>
              </w:rPr>
              <w:t xml:space="preserve"> </w:t>
            </w:r>
            <w:r w:rsidRPr="008F4CF7">
              <w:rPr>
                <w:sz w:val="18"/>
                <w:szCs w:val="18"/>
              </w:rPr>
              <w:t>τρίμηνο του 2019. Η βελτίωση της ρευστότητας έχει καταστήσει την Τράπεζα περισσότερο προσεκτική σε θέματα κόστους τα τελευταία τρίμηνα, στην προσπάθειά της να επιτύχει ισορροπία μεταξύ προσέλκυσης καταθέσεων και μείωσης των εξόδων τόκων.</w:t>
            </w:r>
          </w:p>
        </w:tc>
      </w:tr>
      <w:tr w:rsidR="00B041FB" w:rsidRPr="00537B99" w:rsidTr="0092279A">
        <w:trPr>
          <w:trHeight w:val="386"/>
        </w:trPr>
        <w:tc>
          <w:tcPr>
            <w:tcW w:w="1982" w:type="dxa"/>
            <w:shd w:val="clear" w:color="auto" w:fill="auto"/>
            <w:tcMar>
              <w:top w:w="57" w:type="dxa"/>
              <w:bottom w:w="57" w:type="dxa"/>
            </w:tcMar>
          </w:tcPr>
          <w:p w:rsidR="00B041FB" w:rsidRPr="008E7F1C" w:rsidRDefault="008E7F1C" w:rsidP="0008357D">
            <w:pPr>
              <w:tabs>
                <w:tab w:val="left" w:pos="8262"/>
              </w:tabs>
              <w:spacing w:after="60"/>
              <w:ind w:left="32" w:right="74"/>
              <w:contextualSpacing/>
              <w:rPr>
                <w:rFonts w:cs="Calibri"/>
                <w:i/>
                <w:color w:val="6691AB"/>
                <w:spacing w:val="-4"/>
              </w:rPr>
            </w:pPr>
            <w:r w:rsidRPr="008E7F1C">
              <w:rPr>
                <w:rFonts w:eastAsiaTheme="minorEastAsia" w:cs="Calibri"/>
                <w:i/>
                <w:color w:val="6691AB"/>
                <w:spacing w:val="-4"/>
              </w:rPr>
              <w:t xml:space="preserve">Βελτιωμένο προφίλ ρευστότητας και χρηματοδότησης </w:t>
            </w:r>
            <w:r w:rsidR="00330710" w:rsidRPr="008E7F1C">
              <w:rPr>
                <w:rFonts w:eastAsiaTheme="minorEastAsia" w:cs="Calibri"/>
                <w:i/>
                <w:color w:val="6691AB"/>
                <w:spacing w:val="-4"/>
              </w:rPr>
              <w:t xml:space="preserve"> </w:t>
            </w:r>
            <w:r w:rsidRPr="008E7F1C">
              <w:rPr>
                <w:rFonts w:eastAsiaTheme="minorEastAsia" w:cs="Calibri"/>
                <w:i/>
                <w:color w:val="6691AB"/>
                <w:spacing w:val="-4"/>
              </w:rPr>
              <w:t xml:space="preserve">με δείκτη </w:t>
            </w:r>
            <w:r w:rsidR="0008357D">
              <w:rPr>
                <w:rFonts w:eastAsiaTheme="minorEastAsia" w:cs="Calibri"/>
                <w:i/>
                <w:color w:val="6691AB"/>
                <w:spacing w:val="-4"/>
                <w:lang w:val="en-US"/>
              </w:rPr>
              <w:t>LCR</w:t>
            </w:r>
            <w:r w:rsidR="0008357D" w:rsidRPr="0008357D">
              <w:rPr>
                <w:rFonts w:eastAsiaTheme="minorEastAsia" w:cs="Calibri"/>
                <w:i/>
                <w:color w:val="6691AB"/>
                <w:spacing w:val="-4"/>
              </w:rPr>
              <w:t xml:space="preserve"> </w:t>
            </w:r>
            <w:r w:rsidR="0008357D">
              <w:rPr>
                <w:rFonts w:eastAsiaTheme="minorEastAsia" w:cs="Calibri"/>
                <w:i/>
                <w:color w:val="6691AB"/>
                <w:spacing w:val="-4"/>
              </w:rPr>
              <w:t xml:space="preserve">στο </w:t>
            </w:r>
            <w:r w:rsidR="00B041FB" w:rsidRPr="008E7F1C">
              <w:rPr>
                <w:rFonts w:eastAsiaTheme="minorEastAsia" w:cs="Calibri"/>
                <w:i/>
                <w:color w:val="6691AB"/>
                <w:spacing w:val="-4"/>
              </w:rPr>
              <w:t>1</w:t>
            </w:r>
            <w:r w:rsidR="009E159B" w:rsidRPr="008E7F1C">
              <w:rPr>
                <w:rFonts w:eastAsiaTheme="minorEastAsia" w:cs="Calibri"/>
                <w:i/>
                <w:color w:val="6691AB"/>
                <w:spacing w:val="-4"/>
              </w:rPr>
              <w:t>31</w:t>
            </w:r>
            <w:r w:rsidR="00B041FB" w:rsidRPr="008E7F1C">
              <w:rPr>
                <w:rFonts w:eastAsiaTheme="minorEastAsia" w:cs="Calibri"/>
                <w:i/>
                <w:color w:val="6691AB"/>
                <w:spacing w:val="-4"/>
              </w:rPr>
              <w:t>%</w:t>
            </w:r>
          </w:p>
        </w:tc>
        <w:tc>
          <w:tcPr>
            <w:tcW w:w="6982" w:type="dxa"/>
            <w:tcMar>
              <w:top w:w="57" w:type="dxa"/>
              <w:bottom w:w="57" w:type="dxa"/>
            </w:tcMar>
          </w:tcPr>
          <w:p w:rsidR="00CE5C2F" w:rsidRPr="00537B99" w:rsidRDefault="008F4CF7" w:rsidP="00DA7AEC">
            <w:pPr>
              <w:tabs>
                <w:tab w:val="left" w:pos="8262"/>
              </w:tabs>
              <w:spacing w:before="40" w:after="40" w:line="264" w:lineRule="auto"/>
              <w:ind w:left="7" w:right="301"/>
              <w:jc w:val="both"/>
              <w:rPr>
                <w:color w:val="FF0000"/>
                <w:sz w:val="18"/>
                <w:szCs w:val="18"/>
              </w:rPr>
            </w:pPr>
            <w:r w:rsidRPr="008F4CF7">
              <w:rPr>
                <w:sz w:val="18"/>
                <w:szCs w:val="18"/>
              </w:rPr>
              <w:t xml:space="preserve">Η χρηματοδότηση από το </w:t>
            </w:r>
            <w:proofErr w:type="spellStart"/>
            <w:r w:rsidRPr="008F4CF7">
              <w:rPr>
                <w:sz w:val="18"/>
                <w:szCs w:val="18"/>
              </w:rPr>
              <w:t>Ευρωσύστημα</w:t>
            </w:r>
            <w:proofErr w:type="spellEnd"/>
            <w:r w:rsidRPr="008F4CF7">
              <w:rPr>
                <w:sz w:val="18"/>
                <w:szCs w:val="18"/>
              </w:rPr>
              <w:t xml:space="preserve"> </w:t>
            </w:r>
            <w:r w:rsidR="00DA7AEC">
              <w:rPr>
                <w:sz w:val="18"/>
                <w:szCs w:val="18"/>
              </w:rPr>
              <w:t>ενισχύθηκε</w:t>
            </w:r>
            <w:r w:rsidRPr="008F4CF7">
              <w:rPr>
                <w:sz w:val="18"/>
                <w:szCs w:val="18"/>
              </w:rPr>
              <w:t xml:space="preserve"> το 1</w:t>
            </w:r>
            <w:r w:rsidRPr="00675202">
              <w:rPr>
                <w:sz w:val="18"/>
                <w:szCs w:val="18"/>
                <w:vertAlign w:val="superscript"/>
              </w:rPr>
              <w:t>ο</w:t>
            </w:r>
            <w:r w:rsidR="00675202">
              <w:rPr>
                <w:sz w:val="18"/>
                <w:szCs w:val="18"/>
              </w:rPr>
              <w:t xml:space="preserve"> </w:t>
            </w:r>
            <w:r w:rsidRPr="008F4CF7">
              <w:rPr>
                <w:sz w:val="18"/>
                <w:szCs w:val="18"/>
              </w:rPr>
              <w:t xml:space="preserve"> 3μηνο 2020 </w:t>
            </w:r>
            <w:r w:rsidR="00DA7AEC">
              <w:rPr>
                <w:sz w:val="18"/>
                <w:szCs w:val="18"/>
              </w:rPr>
              <w:t>στα</w:t>
            </w:r>
            <w:r w:rsidRPr="008F4CF7">
              <w:rPr>
                <w:sz w:val="18"/>
                <w:szCs w:val="18"/>
              </w:rPr>
              <w:t xml:space="preserve"> €2,4δισ. στις 31 Μαρτίου 2020 από το επίπεδο των €0,4δισ. στις 31 Δεκεμβρίου 2019, λόγω της απόφασης της Τράπεζας να επωφεληθεί από το χαμηλότερο κόστος χρηματοδότησης του </w:t>
            </w:r>
            <w:proofErr w:type="spellStart"/>
            <w:r w:rsidRPr="008F4CF7">
              <w:rPr>
                <w:sz w:val="18"/>
                <w:szCs w:val="18"/>
              </w:rPr>
              <w:t>Ευρωσυστήματος</w:t>
            </w:r>
            <w:proofErr w:type="spellEnd"/>
            <w:r w:rsidRPr="008F4CF7">
              <w:rPr>
                <w:sz w:val="18"/>
                <w:szCs w:val="18"/>
              </w:rPr>
              <w:t xml:space="preserve"> και να αλλάξει τις θέσεις από διατραπεζικ</w:t>
            </w:r>
            <w:r w:rsidR="00DA7AEC">
              <w:rPr>
                <w:sz w:val="18"/>
                <w:szCs w:val="18"/>
              </w:rPr>
              <w:t>ά</w:t>
            </w:r>
            <w:r w:rsidRPr="008F4CF7">
              <w:rPr>
                <w:sz w:val="18"/>
                <w:szCs w:val="18"/>
              </w:rPr>
              <w:t xml:space="preserve"> </w:t>
            </w:r>
            <w:proofErr w:type="spellStart"/>
            <w:r w:rsidRPr="008F4CF7">
              <w:rPr>
                <w:sz w:val="18"/>
                <w:szCs w:val="18"/>
              </w:rPr>
              <w:t>repoς</w:t>
            </w:r>
            <w:proofErr w:type="spellEnd"/>
            <w:r w:rsidRPr="008F4CF7">
              <w:rPr>
                <w:sz w:val="18"/>
                <w:szCs w:val="18"/>
              </w:rPr>
              <w:t xml:space="preserve"> σε χρηματοδότηση LTRO από την ΕΚΤ. Ως αποτέλεσμα, η χρήση της διατραπεζικής αγοράς </w:t>
            </w:r>
            <w:proofErr w:type="spellStart"/>
            <w:r w:rsidRPr="008F4CF7">
              <w:rPr>
                <w:sz w:val="18"/>
                <w:szCs w:val="18"/>
              </w:rPr>
              <w:t>repos</w:t>
            </w:r>
            <w:proofErr w:type="spellEnd"/>
            <w:r w:rsidRPr="008F4CF7">
              <w:rPr>
                <w:sz w:val="18"/>
                <w:szCs w:val="18"/>
              </w:rPr>
              <w:t xml:space="preserve"> περιορίστηκε σε €0,1δισ. στις 31 Μαρτίου 2020. Η Τράπεζα Πειραιώς </w:t>
            </w:r>
            <w:r w:rsidR="00DA7AEC">
              <w:rPr>
                <w:sz w:val="18"/>
                <w:szCs w:val="18"/>
              </w:rPr>
              <w:t xml:space="preserve">διατηρεί </w:t>
            </w:r>
            <w:r w:rsidRPr="008F4CF7">
              <w:rPr>
                <w:sz w:val="18"/>
                <w:szCs w:val="18"/>
              </w:rPr>
              <w:t>Δείκτη</w:t>
            </w:r>
            <w:r w:rsidR="00DA7AEC">
              <w:rPr>
                <w:sz w:val="18"/>
                <w:szCs w:val="18"/>
              </w:rPr>
              <w:t xml:space="preserve"> Κάλυψης Ρευστότητάς της (LCR) </w:t>
            </w:r>
            <w:r w:rsidRPr="008F4CF7">
              <w:rPr>
                <w:sz w:val="18"/>
                <w:szCs w:val="18"/>
              </w:rPr>
              <w:t>πάνω από την εποπτική απαίτηση του 100%, στο 131% στις 31 Μαρτίου 2020.</w:t>
            </w:r>
          </w:p>
        </w:tc>
      </w:tr>
      <w:tr w:rsidR="00B041FB" w:rsidRPr="00CD669A" w:rsidTr="0092279A">
        <w:trPr>
          <w:trHeight w:val="251"/>
        </w:trPr>
        <w:tc>
          <w:tcPr>
            <w:tcW w:w="1982" w:type="dxa"/>
            <w:tcMar>
              <w:top w:w="57" w:type="dxa"/>
              <w:bottom w:w="57" w:type="dxa"/>
            </w:tcMar>
          </w:tcPr>
          <w:p w:rsidR="00B041FB" w:rsidRPr="00CD669A" w:rsidRDefault="00CD669A" w:rsidP="008F4CF7">
            <w:pPr>
              <w:tabs>
                <w:tab w:val="left" w:pos="8262"/>
              </w:tabs>
              <w:spacing w:after="60"/>
              <w:ind w:left="32" w:right="74"/>
              <w:contextualSpacing/>
              <w:rPr>
                <w:rFonts w:cs="Calibri"/>
                <w:i/>
                <w:color w:val="6691AB"/>
              </w:rPr>
            </w:pPr>
            <w:r>
              <w:rPr>
                <w:rFonts w:eastAsiaTheme="minorEastAsia" w:cs="Calibri"/>
                <w:i/>
                <w:color w:val="6691AB"/>
              </w:rPr>
              <w:t>Το</w:t>
            </w:r>
            <w:r w:rsidRPr="00CD669A">
              <w:rPr>
                <w:rFonts w:eastAsiaTheme="minorEastAsia" w:cs="Calibri"/>
                <w:i/>
                <w:color w:val="6691AB"/>
              </w:rPr>
              <w:t xml:space="preserve"> </w:t>
            </w:r>
            <w:r>
              <w:rPr>
                <w:rFonts w:eastAsiaTheme="minorEastAsia" w:cs="Calibri"/>
                <w:i/>
                <w:color w:val="6691AB"/>
              </w:rPr>
              <w:t>χαρτοφυλάκιο</w:t>
            </w:r>
            <w:r w:rsidRPr="00CD669A">
              <w:rPr>
                <w:rFonts w:eastAsiaTheme="minorEastAsia" w:cs="Calibri"/>
                <w:i/>
                <w:color w:val="6691AB"/>
              </w:rPr>
              <w:t xml:space="preserve"> </w:t>
            </w:r>
            <w:r>
              <w:rPr>
                <w:rFonts w:eastAsiaTheme="minorEastAsia" w:cs="Calibri"/>
                <w:i/>
                <w:color w:val="6691AB"/>
              </w:rPr>
              <w:t>εξυπηρετούμενων</w:t>
            </w:r>
            <w:r w:rsidRPr="00CD669A">
              <w:rPr>
                <w:rFonts w:eastAsiaTheme="minorEastAsia" w:cs="Calibri"/>
                <w:i/>
                <w:color w:val="6691AB"/>
              </w:rPr>
              <w:t xml:space="preserve"> </w:t>
            </w:r>
            <w:r>
              <w:rPr>
                <w:rFonts w:eastAsiaTheme="minorEastAsia" w:cs="Calibri"/>
                <w:i/>
                <w:color w:val="6691AB"/>
              </w:rPr>
              <w:t>δανείων αυξήθηκε από την αρ</w:t>
            </w:r>
            <w:r w:rsidR="008F4CF7">
              <w:rPr>
                <w:rFonts w:eastAsiaTheme="minorEastAsia" w:cs="Calibri"/>
                <w:i/>
                <w:color w:val="6691AB"/>
              </w:rPr>
              <w:t>χή</w:t>
            </w:r>
            <w:r>
              <w:rPr>
                <w:rFonts w:eastAsiaTheme="minorEastAsia" w:cs="Calibri"/>
                <w:i/>
                <w:color w:val="6691AB"/>
              </w:rPr>
              <w:t xml:space="preserve"> της χρονιάς</w:t>
            </w:r>
          </w:p>
        </w:tc>
        <w:tc>
          <w:tcPr>
            <w:tcW w:w="6982" w:type="dxa"/>
            <w:tcMar>
              <w:top w:w="57" w:type="dxa"/>
              <w:bottom w:w="57" w:type="dxa"/>
            </w:tcMar>
          </w:tcPr>
          <w:p w:rsidR="00B041FB" w:rsidRPr="00CD669A" w:rsidRDefault="008F4CF7" w:rsidP="00DA7AEC">
            <w:pPr>
              <w:tabs>
                <w:tab w:val="left" w:pos="8262"/>
              </w:tabs>
              <w:spacing w:before="40" w:after="40" w:line="264" w:lineRule="auto"/>
              <w:ind w:left="7" w:right="301"/>
              <w:jc w:val="both"/>
              <w:rPr>
                <w:sz w:val="18"/>
                <w:szCs w:val="18"/>
              </w:rPr>
            </w:pPr>
            <w:r w:rsidRPr="008F4CF7">
              <w:rPr>
                <w:sz w:val="18"/>
                <w:szCs w:val="18"/>
              </w:rPr>
              <w:t>Τα δάνεια προ προβλέψεων και προσαρμογών ανήλθαν σε €48,7δισ. στα τέλη Μαρτίου 2020, και μετά από προβλέψεις στα €37,7δισ. Το χαρτοφυλάκιο εξυπηρετούμενων δανείων στην Ελλάδα αυξήθηκε κατά €0,4δισ. κατά το 1ο 3μηνο 2020 σε συγκρίσιμη βάση, με τις επιχειρηματικές χορηγήσεις να οδηγούν την άνοδο. Οι νέες εκταμιεύσεις δανείων έφτασαν τα €1,3δισ. το 1</w:t>
            </w:r>
            <w:r w:rsidRPr="00675202">
              <w:rPr>
                <w:sz w:val="18"/>
                <w:szCs w:val="18"/>
                <w:vertAlign w:val="superscript"/>
              </w:rPr>
              <w:t>ο</w:t>
            </w:r>
            <w:r w:rsidR="00675202">
              <w:rPr>
                <w:sz w:val="18"/>
                <w:szCs w:val="18"/>
              </w:rPr>
              <w:t xml:space="preserve"> </w:t>
            </w:r>
            <w:r w:rsidRPr="008F4CF7">
              <w:rPr>
                <w:sz w:val="18"/>
                <w:szCs w:val="18"/>
              </w:rPr>
              <w:t xml:space="preserve">3μηνο 2020 και €2,2δισ. μέχρι τα τέλη </w:t>
            </w:r>
            <w:proofErr w:type="spellStart"/>
            <w:r w:rsidRPr="008F4CF7">
              <w:rPr>
                <w:sz w:val="18"/>
                <w:szCs w:val="18"/>
              </w:rPr>
              <w:t>Μαϊου</w:t>
            </w:r>
            <w:proofErr w:type="spellEnd"/>
            <w:r w:rsidRPr="008F4CF7">
              <w:rPr>
                <w:sz w:val="18"/>
                <w:szCs w:val="18"/>
              </w:rPr>
              <w:t xml:space="preserve"> 2020, σε </w:t>
            </w:r>
            <w:r w:rsidR="00DA7AEC">
              <w:rPr>
                <w:sz w:val="18"/>
                <w:szCs w:val="18"/>
              </w:rPr>
              <w:t xml:space="preserve">ευθυγράμμιση με την </w:t>
            </w:r>
            <w:r w:rsidRPr="008F4CF7">
              <w:rPr>
                <w:sz w:val="18"/>
                <w:szCs w:val="18"/>
              </w:rPr>
              <w:t xml:space="preserve">πορεία επίτευξης </w:t>
            </w:r>
            <w:r w:rsidR="00DA7AEC">
              <w:rPr>
                <w:sz w:val="18"/>
                <w:szCs w:val="18"/>
              </w:rPr>
              <w:t xml:space="preserve">του </w:t>
            </w:r>
            <w:r w:rsidRPr="008F4CF7">
              <w:rPr>
                <w:sz w:val="18"/>
                <w:szCs w:val="18"/>
              </w:rPr>
              <w:t xml:space="preserve">στόχου </w:t>
            </w:r>
            <w:r w:rsidR="00DA7AEC">
              <w:rPr>
                <w:sz w:val="18"/>
                <w:szCs w:val="18"/>
              </w:rPr>
              <w:t xml:space="preserve">των </w:t>
            </w:r>
            <w:r w:rsidRPr="008F4CF7">
              <w:rPr>
                <w:sz w:val="18"/>
                <w:szCs w:val="18"/>
              </w:rPr>
              <w:t xml:space="preserve">νέων εκταμιεύσεων ύψους €4,9δισ. το 2020. Ο λόγος δανείων μετά από προβλέψεις προς καταθέσεις του Ομίλου βελτιώθηκε στο 81% από 88% έναν χρόνο πριν, </w:t>
            </w:r>
            <w:r w:rsidR="00DA7AEC">
              <w:rPr>
                <w:sz w:val="18"/>
                <w:szCs w:val="18"/>
              </w:rPr>
              <w:t>σηματοδοτώντας</w:t>
            </w:r>
            <w:r w:rsidRPr="008F4CF7">
              <w:rPr>
                <w:sz w:val="18"/>
                <w:szCs w:val="18"/>
              </w:rPr>
              <w:t xml:space="preserve"> ότι  η Τράπεζα μπορεί να ανταποκριθεί πλήρως στο ρόλο της, που είναι η χρηματοδότηση της ανάκαμψ</w:t>
            </w:r>
            <w:r w:rsidR="00DA7AEC">
              <w:rPr>
                <w:sz w:val="18"/>
                <w:szCs w:val="18"/>
              </w:rPr>
              <w:t>ης της ελληνικής οικονομίας στη</w:t>
            </w:r>
            <w:r w:rsidRPr="008F4CF7">
              <w:rPr>
                <w:sz w:val="18"/>
                <w:szCs w:val="18"/>
              </w:rPr>
              <w:t xml:space="preserve"> μετά COVID-</w:t>
            </w:r>
            <w:r>
              <w:rPr>
                <w:sz w:val="18"/>
                <w:szCs w:val="18"/>
              </w:rPr>
              <w:t>1</w:t>
            </w:r>
            <w:r w:rsidRPr="008F4CF7">
              <w:rPr>
                <w:sz w:val="18"/>
                <w:szCs w:val="18"/>
              </w:rPr>
              <w:t>9 εποχή και να αξιοποιήσει τυχόν ευκαιρίες που θα δημιουργηθούν στην αγορά.</w:t>
            </w:r>
          </w:p>
        </w:tc>
      </w:tr>
      <w:tr w:rsidR="00B041FB" w:rsidRPr="00EF44E3" w:rsidTr="0092279A">
        <w:trPr>
          <w:trHeight w:val="251"/>
        </w:trPr>
        <w:tc>
          <w:tcPr>
            <w:tcW w:w="1982" w:type="dxa"/>
            <w:tcMar>
              <w:top w:w="57" w:type="dxa"/>
              <w:bottom w:w="57" w:type="dxa"/>
            </w:tcMar>
          </w:tcPr>
          <w:p w:rsidR="00B041FB" w:rsidRPr="00DE2446" w:rsidRDefault="00DE2446" w:rsidP="00DA7AEC">
            <w:pPr>
              <w:tabs>
                <w:tab w:val="left" w:pos="8262"/>
              </w:tabs>
              <w:spacing w:after="60"/>
              <w:ind w:right="74"/>
              <w:contextualSpacing/>
              <w:rPr>
                <w:rFonts w:eastAsiaTheme="minorEastAsia" w:cs="Calibri"/>
                <w:i/>
                <w:color w:val="6691AB"/>
              </w:rPr>
            </w:pPr>
            <w:r>
              <w:rPr>
                <w:rFonts w:cs="Calibri"/>
                <w:i/>
                <w:noProof/>
                <w:color w:val="6691AB"/>
                <w:lang w:eastAsia="el-GR"/>
              </w:rPr>
              <w:t>Οι δείκτες κεφαλαιακής επάρκειας επηρεάσ</w:t>
            </w:r>
            <w:r w:rsidR="00DA7AEC">
              <w:rPr>
                <w:rFonts w:cs="Calibri"/>
                <w:i/>
                <w:noProof/>
                <w:color w:val="6691AB"/>
                <w:lang w:eastAsia="el-GR"/>
              </w:rPr>
              <w:t>θ</w:t>
            </w:r>
            <w:r>
              <w:rPr>
                <w:rFonts w:cs="Calibri"/>
                <w:i/>
                <w:noProof/>
                <w:color w:val="6691AB"/>
                <w:lang w:eastAsia="el-GR"/>
              </w:rPr>
              <w:t>ηκαν από τ</w:t>
            </w:r>
            <w:r w:rsidR="00DA7AEC">
              <w:rPr>
                <w:rFonts w:cs="Calibri"/>
                <w:i/>
                <w:noProof/>
                <w:color w:val="6691AB"/>
                <w:lang w:eastAsia="el-GR"/>
              </w:rPr>
              <w:t>ο αποτέλεσμα τριμήνου</w:t>
            </w:r>
          </w:p>
        </w:tc>
        <w:tc>
          <w:tcPr>
            <w:tcW w:w="6982" w:type="dxa"/>
            <w:tcMar>
              <w:top w:w="57" w:type="dxa"/>
              <w:bottom w:w="57" w:type="dxa"/>
            </w:tcMar>
          </w:tcPr>
          <w:p w:rsidR="00B041FB" w:rsidRPr="00EF44E3" w:rsidRDefault="008F4CF7" w:rsidP="00DA7AEC">
            <w:pPr>
              <w:tabs>
                <w:tab w:val="left" w:pos="8262"/>
              </w:tabs>
              <w:spacing w:before="40" w:after="40" w:line="264" w:lineRule="auto"/>
              <w:ind w:left="7" w:right="301"/>
              <w:jc w:val="both"/>
              <w:rPr>
                <w:sz w:val="18"/>
                <w:szCs w:val="18"/>
              </w:rPr>
            </w:pPr>
            <w:r w:rsidRPr="008F4CF7">
              <w:rPr>
                <w:sz w:val="18"/>
                <w:szCs w:val="18"/>
              </w:rPr>
              <w:t xml:space="preserve">Ο δείκτης κεφαλαιακής επάρκειας Common </w:t>
            </w:r>
            <w:proofErr w:type="spellStart"/>
            <w:r w:rsidRPr="008F4CF7">
              <w:rPr>
                <w:sz w:val="18"/>
                <w:szCs w:val="18"/>
              </w:rPr>
              <w:t>Equity</w:t>
            </w:r>
            <w:proofErr w:type="spellEnd"/>
            <w:r w:rsidRPr="008F4CF7">
              <w:rPr>
                <w:sz w:val="18"/>
                <w:szCs w:val="18"/>
              </w:rPr>
              <w:t xml:space="preserve"> </w:t>
            </w:r>
            <w:proofErr w:type="spellStart"/>
            <w:r w:rsidRPr="008F4CF7">
              <w:rPr>
                <w:sz w:val="18"/>
                <w:szCs w:val="18"/>
              </w:rPr>
              <w:t>Tier</w:t>
            </w:r>
            <w:proofErr w:type="spellEnd"/>
            <w:r w:rsidRPr="008F4CF7">
              <w:rPr>
                <w:sz w:val="18"/>
                <w:szCs w:val="18"/>
              </w:rPr>
              <w:t xml:space="preserve"> 1 (CET1) του Ομίλου στις 31 Μαρτίου 2020 ήταν στο 13,2%, ενώ ο δείκτης συνολικής κεφαλαιακής επάρκειας στο 15,2%. Το αποτέλεσμα του 1</w:t>
            </w:r>
            <w:r w:rsidRPr="00675202">
              <w:rPr>
                <w:sz w:val="18"/>
                <w:szCs w:val="18"/>
                <w:vertAlign w:val="superscript"/>
              </w:rPr>
              <w:t>ου</w:t>
            </w:r>
            <w:r w:rsidR="00675202">
              <w:rPr>
                <w:sz w:val="18"/>
                <w:szCs w:val="18"/>
              </w:rPr>
              <w:t xml:space="preserve"> </w:t>
            </w:r>
            <w:r w:rsidRPr="008F4CF7">
              <w:rPr>
                <w:sz w:val="18"/>
                <w:szCs w:val="18"/>
              </w:rPr>
              <w:t xml:space="preserve">τριμήνου, σε συνέχεια των αυξημένων </w:t>
            </w:r>
            <w:proofErr w:type="spellStart"/>
            <w:r w:rsidRPr="008F4CF7">
              <w:rPr>
                <w:sz w:val="18"/>
                <w:szCs w:val="18"/>
              </w:rPr>
              <w:t>απομειώσεων</w:t>
            </w:r>
            <w:proofErr w:type="spellEnd"/>
            <w:r w:rsidRPr="008F4CF7">
              <w:rPr>
                <w:sz w:val="18"/>
                <w:szCs w:val="18"/>
              </w:rPr>
              <w:t xml:space="preserve">  λόγω της κρίσης του COVID-19, ήταν η κύρια αιτία της επιδείνωσης των δεικτών κεφαλαιακής επάρκειας στο 1</w:t>
            </w:r>
            <w:r w:rsidRPr="00675202">
              <w:rPr>
                <w:sz w:val="18"/>
                <w:szCs w:val="18"/>
                <w:vertAlign w:val="superscript"/>
              </w:rPr>
              <w:t>ο</w:t>
            </w:r>
            <w:r w:rsidR="00675202">
              <w:rPr>
                <w:sz w:val="18"/>
                <w:szCs w:val="18"/>
              </w:rPr>
              <w:t xml:space="preserve"> </w:t>
            </w:r>
            <w:r w:rsidRPr="008F4CF7">
              <w:rPr>
                <w:sz w:val="18"/>
                <w:szCs w:val="18"/>
              </w:rPr>
              <w:t>τρίμηνο του 2020. Οι δείκτες κεφαλαιακής επάρκειας CET1 και συνολικής κεφαλαιακής επάρκειας με πλήρη εφαρμογή της Βασιλείας ΙΙΙ διαμορφώθηκαν σε 10,8% and 12,9% αντίστοιχα.</w:t>
            </w:r>
          </w:p>
        </w:tc>
      </w:tr>
      <w:tr w:rsidR="00B041FB" w:rsidRPr="008F4CF7" w:rsidTr="0092279A">
        <w:trPr>
          <w:trHeight w:val="1943"/>
        </w:trPr>
        <w:tc>
          <w:tcPr>
            <w:tcW w:w="1982" w:type="dxa"/>
            <w:tcMar>
              <w:top w:w="57" w:type="dxa"/>
              <w:bottom w:w="57" w:type="dxa"/>
            </w:tcMar>
          </w:tcPr>
          <w:p w:rsidR="00B041FB" w:rsidRPr="00454766" w:rsidRDefault="00C50175" w:rsidP="00C50175">
            <w:pPr>
              <w:tabs>
                <w:tab w:val="left" w:pos="8262"/>
              </w:tabs>
              <w:spacing w:after="60"/>
              <w:ind w:left="32" w:right="74"/>
              <w:contextualSpacing/>
              <w:rPr>
                <w:rFonts w:cs="Calibri"/>
                <w:i/>
                <w:color w:val="6691AB"/>
              </w:rPr>
            </w:pPr>
            <w:r>
              <w:rPr>
                <w:rFonts w:cs="Calibri"/>
                <w:i/>
                <w:noProof/>
                <w:color w:val="6691AB"/>
                <w:lang w:eastAsia="el-GR"/>
              </w:rPr>
              <w:t xml:space="preserve">Συνεχίζεται η μείωση </w:t>
            </w:r>
            <w:r w:rsidR="00454766">
              <w:rPr>
                <w:rFonts w:cs="Calibri"/>
                <w:i/>
                <w:noProof/>
                <w:color w:val="6691AB"/>
                <w:lang w:eastAsia="el-GR"/>
              </w:rPr>
              <w:t xml:space="preserve">των </w:t>
            </w:r>
            <w:r>
              <w:rPr>
                <w:rFonts w:cs="Calibri"/>
                <w:i/>
                <w:noProof/>
                <w:color w:val="6691AB"/>
                <w:lang w:eastAsia="el-GR"/>
              </w:rPr>
              <w:t>ΜΕΑ</w:t>
            </w:r>
          </w:p>
        </w:tc>
        <w:tc>
          <w:tcPr>
            <w:tcW w:w="6982" w:type="dxa"/>
            <w:tcMar>
              <w:top w:w="57" w:type="dxa"/>
              <w:bottom w:w="57" w:type="dxa"/>
            </w:tcMar>
          </w:tcPr>
          <w:p w:rsidR="00B041FB" w:rsidRPr="008F4CF7" w:rsidRDefault="008F4CF7" w:rsidP="00675202">
            <w:pPr>
              <w:tabs>
                <w:tab w:val="left" w:pos="8262"/>
              </w:tabs>
              <w:spacing w:before="40" w:after="40" w:line="264" w:lineRule="auto"/>
              <w:ind w:left="7" w:right="301"/>
              <w:jc w:val="both"/>
              <w:rPr>
                <w:color w:val="FF0000"/>
                <w:sz w:val="18"/>
                <w:szCs w:val="18"/>
              </w:rPr>
            </w:pPr>
            <w:r w:rsidRPr="008F4CF7">
              <w:rPr>
                <w:sz w:val="18"/>
                <w:szCs w:val="18"/>
              </w:rPr>
              <w:t>Τα ΜΕΑ ανήλθαν σε €24,1δισ. στο τέλος Μαρτίου 2020 από €24,5δισ. στις 31 Δεκεμβρίου 2019. Ο δείκτης κάλυψης ΜΕΑ από σωρευτικές προβλέψεις παρέμεινε σταθερός στο επίπεδο του 46%.</w:t>
            </w:r>
          </w:p>
        </w:tc>
      </w:tr>
    </w:tbl>
    <w:p w:rsidR="009B7A12" w:rsidRPr="00160EE7" w:rsidRDefault="009B7A12" w:rsidP="00B64CF0">
      <w:pPr>
        <w:shd w:val="clear" w:color="auto" w:fill="FFFFFF" w:themeFill="background1"/>
        <w:tabs>
          <w:tab w:val="left" w:pos="9214"/>
        </w:tabs>
        <w:spacing w:after="40" w:line="300" w:lineRule="exact"/>
        <w:ind w:left="-426" w:right="-143"/>
        <w:rPr>
          <w:rFonts w:eastAsia="Times New Roman" w:cs="Calibri"/>
          <w:b/>
          <w:i/>
          <w:color w:val="6691AB"/>
          <w:sz w:val="27"/>
          <w:szCs w:val="27"/>
        </w:rPr>
      </w:pPr>
    </w:p>
    <w:p w:rsidR="009B7A12" w:rsidRPr="00160EE7" w:rsidRDefault="009B7A12">
      <w:pPr>
        <w:rPr>
          <w:rFonts w:eastAsia="Times New Roman" w:cs="Calibri"/>
          <w:b/>
          <w:i/>
          <w:color w:val="6691AB"/>
          <w:sz w:val="27"/>
          <w:szCs w:val="27"/>
        </w:rPr>
      </w:pPr>
      <w:r w:rsidRPr="00160EE7">
        <w:rPr>
          <w:rFonts w:eastAsia="Times New Roman" w:cs="Calibri"/>
          <w:b/>
          <w:i/>
          <w:color w:val="6691AB"/>
          <w:sz w:val="27"/>
          <w:szCs w:val="27"/>
        </w:rPr>
        <w:br w:type="page"/>
      </w:r>
    </w:p>
    <w:p w:rsidR="00FA1352" w:rsidRPr="00175A2E" w:rsidRDefault="00175A2E" w:rsidP="00B64CF0">
      <w:pPr>
        <w:shd w:val="clear" w:color="auto" w:fill="FFFFFF" w:themeFill="background1"/>
        <w:tabs>
          <w:tab w:val="left" w:pos="9214"/>
        </w:tabs>
        <w:spacing w:after="40" w:line="300" w:lineRule="exact"/>
        <w:ind w:left="-426" w:right="-143"/>
        <w:rPr>
          <w:rFonts w:eastAsia="Times New Roman" w:cs="Calibri"/>
          <w:b/>
          <w:i/>
          <w:color w:val="6691AB"/>
          <w:sz w:val="27"/>
          <w:szCs w:val="27"/>
        </w:rPr>
      </w:pPr>
      <w:r>
        <w:rPr>
          <w:rFonts w:eastAsia="Times New Roman" w:cs="Calibri"/>
          <w:b/>
          <w:i/>
          <w:color w:val="6691AB"/>
          <w:sz w:val="27"/>
          <w:szCs w:val="27"/>
        </w:rPr>
        <w:lastRenderedPageBreak/>
        <w:t>Αποφασιστική</w:t>
      </w:r>
      <w:r w:rsidRPr="00175A2E">
        <w:rPr>
          <w:rFonts w:eastAsia="Times New Roman" w:cs="Calibri"/>
          <w:b/>
          <w:i/>
          <w:color w:val="6691AB"/>
          <w:sz w:val="27"/>
          <w:szCs w:val="27"/>
        </w:rPr>
        <w:t xml:space="preserve"> </w:t>
      </w:r>
      <w:r w:rsidR="00007CBC">
        <w:rPr>
          <w:rFonts w:eastAsia="Times New Roman" w:cs="Calibri"/>
          <w:b/>
          <w:i/>
          <w:color w:val="6691AB"/>
          <w:sz w:val="27"/>
          <w:szCs w:val="27"/>
          <w:lang w:val="en-US"/>
        </w:rPr>
        <w:t>A</w:t>
      </w:r>
      <w:proofErr w:type="spellStart"/>
      <w:r w:rsidR="00A66AB6">
        <w:rPr>
          <w:rFonts w:eastAsia="Times New Roman" w:cs="Calibri"/>
          <w:b/>
          <w:i/>
          <w:color w:val="6691AB"/>
          <w:sz w:val="27"/>
          <w:szCs w:val="27"/>
        </w:rPr>
        <w:t>ντιμετώπιση</w:t>
      </w:r>
      <w:proofErr w:type="spellEnd"/>
      <w:r w:rsidR="00A66AB6">
        <w:rPr>
          <w:rFonts w:eastAsia="Times New Roman" w:cs="Calibri"/>
          <w:b/>
          <w:i/>
          <w:color w:val="6691AB"/>
          <w:sz w:val="27"/>
          <w:szCs w:val="27"/>
        </w:rPr>
        <w:t xml:space="preserve"> </w:t>
      </w:r>
      <w:r>
        <w:rPr>
          <w:rFonts w:eastAsia="Times New Roman" w:cs="Calibri"/>
          <w:b/>
          <w:i/>
          <w:color w:val="6691AB"/>
          <w:sz w:val="27"/>
          <w:szCs w:val="27"/>
        </w:rPr>
        <w:t xml:space="preserve">του </w:t>
      </w:r>
      <w:r w:rsidR="00FA1352" w:rsidRPr="0028538D">
        <w:rPr>
          <w:rFonts w:eastAsia="Times New Roman" w:cs="Calibri"/>
          <w:b/>
          <w:i/>
          <w:color w:val="6691AB"/>
          <w:sz w:val="27"/>
          <w:szCs w:val="27"/>
          <w:lang w:val="en-US"/>
        </w:rPr>
        <w:t>C</w:t>
      </w:r>
      <w:r w:rsidR="00007CBC">
        <w:rPr>
          <w:rFonts w:eastAsia="Times New Roman" w:cs="Calibri"/>
          <w:b/>
          <w:i/>
          <w:color w:val="6691AB"/>
          <w:sz w:val="27"/>
          <w:szCs w:val="27"/>
          <w:lang w:val="en-US"/>
        </w:rPr>
        <w:t>OVID</w:t>
      </w:r>
      <w:r w:rsidR="00FA1352" w:rsidRPr="00175A2E">
        <w:rPr>
          <w:rFonts w:eastAsia="Times New Roman" w:cs="Calibri"/>
          <w:b/>
          <w:i/>
          <w:color w:val="6691AB"/>
          <w:sz w:val="27"/>
          <w:szCs w:val="27"/>
        </w:rPr>
        <w:t xml:space="preserve">-19 </w:t>
      </w:r>
      <w:r>
        <w:rPr>
          <w:rFonts w:eastAsia="Times New Roman" w:cs="Calibri"/>
          <w:b/>
          <w:i/>
          <w:color w:val="6691AB"/>
          <w:sz w:val="27"/>
          <w:szCs w:val="27"/>
        </w:rPr>
        <w:t xml:space="preserve">για την </w:t>
      </w:r>
      <w:r w:rsidR="00007CBC">
        <w:rPr>
          <w:rFonts w:eastAsia="Times New Roman" w:cs="Calibri"/>
          <w:b/>
          <w:i/>
          <w:color w:val="6691AB"/>
          <w:sz w:val="27"/>
          <w:szCs w:val="27"/>
        </w:rPr>
        <w:t>Π</w:t>
      </w:r>
      <w:r>
        <w:rPr>
          <w:rFonts w:eastAsia="Times New Roman" w:cs="Calibri"/>
          <w:b/>
          <w:i/>
          <w:color w:val="6691AB"/>
          <w:sz w:val="27"/>
          <w:szCs w:val="27"/>
        </w:rPr>
        <w:t xml:space="preserve">ροστασία </w:t>
      </w:r>
      <w:r w:rsidR="00007CBC">
        <w:rPr>
          <w:rFonts w:eastAsia="Times New Roman" w:cs="Calibri"/>
          <w:b/>
          <w:i/>
          <w:color w:val="6691AB"/>
          <w:sz w:val="27"/>
          <w:szCs w:val="27"/>
        </w:rPr>
        <w:t>Ό</w:t>
      </w:r>
      <w:r>
        <w:rPr>
          <w:rFonts w:eastAsia="Times New Roman" w:cs="Calibri"/>
          <w:b/>
          <w:i/>
          <w:color w:val="6691AB"/>
          <w:sz w:val="27"/>
          <w:szCs w:val="27"/>
        </w:rPr>
        <w:t xml:space="preserve">λων των </w:t>
      </w:r>
      <w:r w:rsidR="00007CBC">
        <w:rPr>
          <w:rFonts w:eastAsia="Times New Roman" w:cs="Calibri"/>
          <w:b/>
          <w:i/>
          <w:color w:val="6691AB"/>
          <w:sz w:val="27"/>
          <w:szCs w:val="27"/>
        </w:rPr>
        <w:t>Ε</w:t>
      </w:r>
      <w:r>
        <w:rPr>
          <w:rFonts w:eastAsia="Times New Roman" w:cs="Calibri"/>
          <w:b/>
          <w:i/>
          <w:color w:val="6691AB"/>
          <w:sz w:val="27"/>
          <w:szCs w:val="27"/>
        </w:rPr>
        <w:t xml:space="preserve">νδιαφερόμενων </w:t>
      </w:r>
      <w:r w:rsidR="00007CBC">
        <w:rPr>
          <w:rFonts w:eastAsia="Times New Roman" w:cs="Calibri"/>
          <w:b/>
          <w:i/>
          <w:color w:val="6691AB"/>
          <w:sz w:val="27"/>
          <w:szCs w:val="27"/>
        </w:rPr>
        <w:t>Μ</w:t>
      </w:r>
      <w:r>
        <w:rPr>
          <w:rFonts w:eastAsia="Times New Roman" w:cs="Calibri"/>
          <w:b/>
          <w:i/>
          <w:color w:val="6691AB"/>
          <w:sz w:val="27"/>
          <w:szCs w:val="27"/>
        </w:rPr>
        <w:t xml:space="preserve">ερών </w:t>
      </w:r>
      <w:r w:rsidR="00FA1352" w:rsidRPr="00175A2E">
        <w:rPr>
          <w:rFonts w:eastAsia="Times New Roman" w:cs="Calibri"/>
          <w:b/>
          <w:i/>
          <w:color w:val="6691AB"/>
          <w:sz w:val="27"/>
          <w:szCs w:val="27"/>
        </w:rPr>
        <w:t xml:space="preserve"> </w:t>
      </w:r>
    </w:p>
    <w:tbl>
      <w:tblPr>
        <w:tblStyle w:val="TableGrid1"/>
        <w:tblpPr w:leftFromText="180" w:rightFromText="180" w:vertAnchor="text" w:horzAnchor="margin" w:tblpX="-567" w:tblpY="27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tblGrid>
      <w:tr w:rsidR="007F3833" w:rsidRPr="009153E1" w:rsidTr="007D0DAE">
        <w:trPr>
          <w:trHeight w:val="931"/>
        </w:trPr>
        <w:tc>
          <w:tcPr>
            <w:tcW w:w="8647" w:type="dxa"/>
            <w:gridSpan w:val="2"/>
            <w:tcMar>
              <w:top w:w="57" w:type="dxa"/>
              <w:bottom w:w="57" w:type="dxa"/>
            </w:tcMar>
          </w:tcPr>
          <w:p w:rsidR="00530B54" w:rsidRPr="009153E1" w:rsidRDefault="008876BE" w:rsidP="00FD4C74">
            <w:pPr>
              <w:jc w:val="both"/>
              <w:rPr>
                <w:rFonts w:cs="Calibri"/>
                <w:sz w:val="18"/>
                <w:szCs w:val="18"/>
              </w:rPr>
            </w:pPr>
            <w:r>
              <w:rPr>
                <w:rFonts w:cs="Calibri"/>
                <w:bCs/>
                <w:sz w:val="18"/>
                <w:szCs w:val="18"/>
              </w:rPr>
              <w:t>Η</w:t>
            </w:r>
            <w:r w:rsidR="004E38A5" w:rsidRPr="007539E2">
              <w:rPr>
                <w:rFonts w:cs="Calibri"/>
                <w:bCs/>
                <w:sz w:val="18"/>
                <w:szCs w:val="18"/>
              </w:rPr>
              <w:t xml:space="preserve"> Τράπεζα Πειραιώς</w:t>
            </w:r>
            <w:r w:rsidR="007F3833" w:rsidRPr="007539E2">
              <w:rPr>
                <w:rFonts w:cs="Calibri"/>
                <w:bCs/>
                <w:sz w:val="18"/>
                <w:szCs w:val="18"/>
              </w:rPr>
              <w:t xml:space="preserve">, </w:t>
            </w:r>
            <w:r w:rsidR="00DD7D2C" w:rsidRPr="007539E2">
              <w:rPr>
                <w:rFonts w:cs="Calibri"/>
                <w:bCs/>
                <w:sz w:val="18"/>
                <w:szCs w:val="18"/>
              </w:rPr>
              <w:t>ενεργώντας υπεύθυνα σύμφωνα με το πρόγραμμ</w:t>
            </w:r>
            <w:r w:rsidR="00FD4C74">
              <w:rPr>
                <w:rFonts w:cs="Calibri"/>
                <w:bCs/>
                <w:sz w:val="18"/>
                <w:szCs w:val="18"/>
              </w:rPr>
              <w:t>α εταιρικής υπευθυνότητάς</w:t>
            </w:r>
            <w:r w:rsidR="00DD7D2C" w:rsidRPr="007539E2">
              <w:rPr>
                <w:rFonts w:cs="Calibri"/>
                <w:bCs/>
                <w:sz w:val="18"/>
                <w:szCs w:val="18"/>
              </w:rPr>
              <w:t xml:space="preserve"> </w:t>
            </w:r>
            <w:r w:rsidR="00FD4C74">
              <w:rPr>
                <w:rFonts w:cs="Calibri"/>
                <w:bCs/>
                <w:sz w:val="18"/>
                <w:szCs w:val="18"/>
              </w:rPr>
              <w:t>της (</w:t>
            </w:r>
            <w:r w:rsidR="00FD4C74">
              <w:rPr>
                <w:rFonts w:cs="Calibri"/>
                <w:bCs/>
                <w:sz w:val="18"/>
                <w:szCs w:val="18"/>
                <w:lang w:val="en-US"/>
              </w:rPr>
              <w:t>ESG</w:t>
            </w:r>
            <w:r w:rsidR="00FD4C74" w:rsidRPr="00FD4C74">
              <w:rPr>
                <w:rFonts w:cs="Calibri"/>
                <w:bCs/>
                <w:sz w:val="18"/>
                <w:szCs w:val="18"/>
              </w:rPr>
              <w:t>)</w:t>
            </w:r>
            <w:r w:rsidR="007F3833" w:rsidRPr="007539E2">
              <w:rPr>
                <w:rFonts w:cs="Calibri"/>
                <w:bCs/>
                <w:sz w:val="18"/>
                <w:szCs w:val="18"/>
              </w:rPr>
              <w:t xml:space="preserve">, </w:t>
            </w:r>
            <w:r w:rsidR="00DD7D2C" w:rsidRPr="007539E2">
              <w:rPr>
                <w:rFonts w:cs="Calibri"/>
                <w:bCs/>
                <w:sz w:val="18"/>
                <w:szCs w:val="18"/>
              </w:rPr>
              <w:t xml:space="preserve">συμβάλλει ουσιαστικά στον περιορισμό εξάπλωσης του </w:t>
            </w:r>
            <w:r w:rsidR="007F3833" w:rsidRPr="007539E2">
              <w:rPr>
                <w:rFonts w:cs="Calibri"/>
                <w:bCs/>
                <w:sz w:val="18"/>
                <w:szCs w:val="18"/>
              </w:rPr>
              <w:t xml:space="preserve">COVID-19, </w:t>
            </w:r>
            <w:r w:rsidR="007539E2" w:rsidRPr="007539E2">
              <w:rPr>
                <w:rFonts w:cs="Calibri"/>
                <w:bCs/>
                <w:sz w:val="18"/>
                <w:szCs w:val="18"/>
              </w:rPr>
              <w:t>καθ</w:t>
            </w:r>
            <w:r w:rsidR="00FD4C74">
              <w:rPr>
                <w:rFonts w:cs="Calibri"/>
                <w:bCs/>
                <w:sz w:val="18"/>
                <w:szCs w:val="18"/>
              </w:rPr>
              <w:t>ώς και στο</w:t>
            </w:r>
            <w:r w:rsidR="00A22035">
              <w:rPr>
                <w:rFonts w:cs="Calibri"/>
                <w:bCs/>
                <w:sz w:val="18"/>
                <w:szCs w:val="18"/>
              </w:rPr>
              <w:t xml:space="preserve"> μετριασμό τυχόν σχετικών επιπτώσεων</w:t>
            </w:r>
            <w:r w:rsidR="00FD4C74">
              <w:rPr>
                <w:rFonts w:cs="Calibri"/>
                <w:bCs/>
                <w:sz w:val="18"/>
                <w:szCs w:val="18"/>
              </w:rPr>
              <w:t xml:space="preserve">. </w:t>
            </w:r>
            <w:r w:rsidR="000F564C">
              <w:rPr>
                <w:rFonts w:cs="Calibri"/>
                <w:bCs/>
                <w:sz w:val="18"/>
                <w:szCs w:val="18"/>
              </w:rPr>
              <w:t>Η</w:t>
            </w:r>
            <w:r w:rsidR="000F564C" w:rsidRPr="009153E1">
              <w:rPr>
                <w:rFonts w:cs="Calibri"/>
                <w:bCs/>
                <w:sz w:val="18"/>
                <w:szCs w:val="18"/>
              </w:rPr>
              <w:t xml:space="preserve"> </w:t>
            </w:r>
            <w:r w:rsidR="000F564C">
              <w:rPr>
                <w:rFonts w:cs="Calibri"/>
                <w:bCs/>
                <w:sz w:val="18"/>
                <w:szCs w:val="18"/>
              </w:rPr>
              <w:t>Τράπεζα</w:t>
            </w:r>
            <w:r w:rsidR="000F564C" w:rsidRPr="009153E1">
              <w:rPr>
                <w:rFonts w:cs="Calibri"/>
                <w:bCs/>
                <w:sz w:val="18"/>
                <w:szCs w:val="18"/>
              </w:rPr>
              <w:t xml:space="preserve"> </w:t>
            </w:r>
            <w:r w:rsidR="000F564C">
              <w:rPr>
                <w:rFonts w:cs="Calibri"/>
                <w:bCs/>
                <w:sz w:val="18"/>
                <w:szCs w:val="18"/>
              </w:rPr>
              <w:t>Πειραιώς</w:t>
            </w:r>
            <w:r w:rsidR="007F3833" w:rsidRPr="009153E1">
              <w:rPr>
                <w:rFonts w:cs="Calibri"/>
                <w:bCs/>
                <w:sz w:val="18"/>
                <w:szCs w:val="18"/>
              </w:rPr>
              <w:t xml:space="preserve">, </w:t>
            </w:r>
            <w:r w:rsidR="000F564C">
              <w:rPr>
                <w:rFonts w:cs="Calibri"/>
                <w:bCs/>
                <w:sz w:val="18"/>
                <w:szCs w:val="18"/>
              </w:rPr>
              <w:t>σε</w:t>
            </w:r>
            <w:r w:rsidR="000F564C" w:rsidRPr="009153E1">
              <w:rPr>
                <w:rFonts w:cs="Calibri"/>
                <w:bCs/>
                <w:sz w:val="18"/>
                <w:szCs w:val="18"/>
              </w:rPr>
              <w:t xml:space="preserve"> </w:t>
            </w:r>
            <w:r w:rsidR="000F564C">
              <w:rPr>
                <w:rFonts w:cs="Calibri"/>
                <w:bCs/>
                <w:sz w:val="18"/>
                <w:szCs w:val="18"/>
              </w:rPr>
              <w:t>συνεργασία</w:t>
            </w:r>
            <w:r w:rsidR="000F564C" w:rsidRPr="009153E1">
              <w:rPr>
                <w:rFonts w:cs="Calibri"/>
                <w:bCs/>
                <w:sz w:val="18"/>
                <w:szCs w:val="18"/>
              </w:rPr>
              <w:t xml:space="preserve"> </w:t>
            </w:r>
            <w:r w:rsidR="000F564C">
              <w:rPr>
                <w:rFonts w:cs="Calibri"/>
                <w:bCs/>
                <w:sz w:val="18"/>
                <w:szCs w:val="18"/>
              </w:rPr>
              <w:t>με</w:t>
            </w:r>
            <w:r w:rsidR="000F564C" w:rsidRPr="009153E1">
              <w:rPr>
                <w:rFonts w:cs="Calibri"/>
                <w:bCs/>
                <w:sz w:val="18"/>
                <w:szCs w:val="18"/>
              </w:rPr>
              <w:t xml:space="preserve"> </w:t>
            </w:r>
            <w:r w:rsidR="000F564C">
              <w:rPr>
                <w:rFonts w:cs="Calibri"/>
                <w:bCs/>
                <w:sz w:val="18"/>
                <w:szCs w:val="18"/>
              </w:rPr>
              <w:t>την</w:t>
            </w:r>
            <w:r w:rsidR="000F564C" w:rsidRPr="009153E1">
              <w:rPr>
                <w:rFonts w:cs="Calibri"/>
                <w:bCs/>
                <w:sz w:val="18"/>
                <w:szCs w:val="18"/>
              </w:rPr>
              <w:t xml:space="preserve"> </w:t>
            </w:r>
            <w:r w:rsidR="000F564C">
              <w:rPr>
                <w:rFonts w:cs="Calibri"/>
                <w:bCs/>
                <w:sz w:val="18"/>
                <w:szCs w:val="18"/>
              </w:rPr>
              <w:t>Ελληνική</w:t>
            </w:r>
            <w:r w:rsidR="000F564C" w:rsidRPr="009153E1">
              <w:rPr>
                <w:rFonts w:cs="Calibri"/>
                <w:bCs/>
                <w:sz w:val="18"/>
                <w:szCs w:val="18"/>
              </w:rPr>
              <w:t xml:space="preserve"> </w:t>
            </w:r>
            <w:r w:rsidR="000F564C">
              <w:rPr>
                <w:rFonts w:cs="Calibri"/>
                <w:bCs/>
                <w:sz w:val="18"/>
                <w:szCs w:val="18"/>
              </w:rPr>
              <w:t>Ένωση</w:t>
            </w:r>
            <w:r w:rsidR="000F564C" w:rsidRPr="009153E1">
              <w:rPr>
                <w:rFonts w:cs="Calibri"/>
                <w:bCs/>
                <w:sz w:val="18"/>
                <w:szCs w:val="18"/>
              </w:rPr>
              <w:t xml:space="preserve"> </w:t>
            </w:r>
            <w:r w:rsidR="000F564C">
              <w:rPr>
                <w:rFonts w:cs="Calibri"/>
                <w:bCs/>
                <w:sz w:val="18"/>
                <w:szCs w:val="18"/>
              </w:rPr>
              <w:t>Τραπεζών</w:t>
            </w:r>
            <w:r w:rsidR="000F564C" w:rsidRPr="009153E1">
              <w:rPr>
                <w:rFonts w:cs="Calibri"/>
                <w:bCs/>
                <w:sz w:val="18"/>
                <w:szCs w:val="18"/>
              </w:rPr>
              <w:t xml:space="preserve"> </w:t>
            </w:r>
            <w:r w:rsidR="000F564C">
              <w:rPr>
                <w:rFonts w:cs="Calibri"/>
                <w:bCs/>
                <w:sz w:val="18"/>
                <w:szCs w:val="18"/>
              </w:rPr>
              <w:t>και</w:t>
            </w:r>
            <w:r w:rsidR="000F564C" w:rsidRPr="009153E1">
              <w:rPr>
                <w:rFonts w:cs="Calibri"/>
                <w:bCs/>
                <w:sz w:val="18"/>
                <w:szCs w:val="18"/>
              </w:rPr>
              <w:t xml:space="preserve"> </w:t>
            </w:r>
            <w:r w:rsidR="000F564C">
              <w:rPr>
                <w:rFonts w:cs="Calibri"/>
                <w:bCs/>
                <w:sz w:val="18"/>
                <w:szCs w:val="18"/>
              </w:rPr>
              <w:t>τις</w:t>
            </w:r>
            <w:r w:rsidR="000F564C" w:rsidRPr="009153E1">
              <w:rPr>
                <w:rFonts w:cs="Calibri"/>
                <w:bCs/>
                <w:sz w:val="18"/>
                <w:szCs w:val="18"/>
              </w:rPr>
              <w:t xml:space="preserve"> </w:t>
            </w:r>
            <w:r w:rsidR="000F564C">
              <w:rPr>
                <w:rFonts w:cs="Calibri"/>
                <w:bCs/>
                <w:sz w:val="18"/>
                <w:szCs w:val="18"/>
              </w:rPr>
              <w:t>τράπεζες</w:t>
            </w:r>
            <w:r w:rsidR="00FD4C74">
              <w:rPr>
                <w:rFonts w:cs="Calibri"/>
                <w:bCs/>
                <w:sz w:val="18"/>
                <w:szCs w:val="18"/>
              </w:rPr>
              <w:t>-</w:t>
            </w:r>
            <w:r w:rsidR="000F564C">
              <w:rPr>
                <w:rFonts w:cs="Calibri"/>
                <w:bCs/>
                <w:sz w:val="18"/>
                <w:szCs w:val="18"/>
              </w:rPr>
              <w:t>μέλη</w:t>
            </w:r>
            <w:r w:rsidR="007F3833" w:rsidRPr="009153E1">
              <w:rPr>
                <w:rFonts w:cs="Calibri"/>
                <w:bCs/>
                <w:sz w:val="18"/>
                <w:szCs w:val="18"/>
              </w:rPr>
              <w:t xml:space="preserve">, </w:t>
            </w:r>
            <w:r w:rsidR="009153E1">
              <w:rPr>
                <w:rFonts w:cs="Calibri"/>
                <w:bCs/>
                <w:sz w:val="18"/>
                <w:szCs w:val="18"/>
              </w:rPr>
              <w:t>παρακολουθεί</w:t>
            </w:r>
            <w:r w:rsidR="009153E1" w:rsidRPr="009153E1">
              <w:rPr>
                <w:rFonts w:cs="Calibri"/>
                <w:bCs/>
                <w:sz w:val="18"/>
                <w:szCs w:val="18"/>
              </w:rPr>
              <w:t xml:space="preserve"> </w:t>
            </w:r>
            <w:r w:rsidR="009153E1">
              <w:rPr>
                <w:rFonts w:cs="Calibri"/>
                <w:bCs/>
                <w:sz w:val="18"/>
                <w:szCs w:val="18"/>
              </w:rPr>
              <w:t>στενά</w:t>
            </w:r>
            <w:r w:rsidR="009153E1" w:rsidRPr="009153E1">
              <w:rPr>
                <w:rFonts w:cs="Calibri"/>
                <w:bCs/>
                <w:sz w:val="18"/>
                <w:szCs w:val="18"/>
              </w:rPr>
              <w:t xml:space="preserve"> </w:t>
            </w:r>
            <w:r w:rsidR="009153E1">
              <w:rPr>
                <w:rFonts w:cs="Calibri"/>
                <w:bCs/>
                <w:sz w:val="18"/>
                <w:szCs w:val="18"/>
              </w:rPr>
              <w:t>τις</w:t>
            </w:r>
            <w:r w:rsidR="009153E1" w:rsidRPr="009153E1">
              <w:rPr>
                <w:rFonts w:cs="Calibri"/>
                <w:bCs/>
                <w:sz w:val="18"/>
                <w:szCs w:val="18"/>
              </w:rPr>
              <w:t xml:space="preserve"> </w:t>
            </w:r>
            <w:r w:rsidR="009153E1">
              <w:rPr>
                <w:rFonts w:cs="Calibri"/>
                <w:bCs/>
                <w:sz w:val="18"/>
                <w:szCs w:val="18"/>
              </w:rPr>
              <w:t>εξελίξεις</w:t>
            </w:r>
            <w:r w:rsidR="009153E1" w:rsidRPr="009153E1">
              <w:rPr>
                <w:rFonts w:cs="Calibri"/>
                <w:bCs/>
                <w:sz w:val="18"/>
                <w:szCs w:val="18"/>
              </w:rPr>
              <w:t xml:space="preserve"> </w:t>
            </w:r>
            <w:r w:rsidR="009153E1">
              <w:rPr>
                <w:rFonts w:cs="Calibri"/>
                <w:bCs/>
                <w:sz w:val="18"/>
                <w:szCs w:val="18"/>
              </w:rPr>
              <w:t>και</w:t>
            </w:r>
            <w:r w:rsidR="009153E1" w:rsidRPr="009153E1">
              <w:rPr>
                <w:rFonts w:cs="Calibri"/>
                <w:bCs/>
                <w:sz w:val="18"/>
                <w:szCs w:val="18"/>
              </w:rPr>
              <w:t xml:space="preserve"> </w:t>
            </w:r>
            <w:r w:rsidR="009153E1">
              <w:rPr>
                <w:rFonts w:cs="Calibri"/>
                <w:bCs/>
                <w:sz w:val="18"/>
                <w:szCs w:val="18"/>
              </w:rPr>
              <w:t xml:space="preserve">συνεργάζεται με </w:t>
            </w:r>
            <w:r w:rsidR="00FD4C74" w:rsidRPr="00FD4C74">
              <w:rPr>
                <w:rFonts w:cs="Calibri"/>
                <w:bCs/>
                <w:sz w:val="18"/>
                <w:szCs w:val="18"/>
              </w:rPr>
              <w:t>τις Ελληνικ</w:t>
            </w:r>
            <w:r w:rsidR="00FD4C74">
              <w:rPr>
                <w:rFonts w:cs="Calibri"/>
                <w:bCs/>
                <w:sz w:val="18"/>
                <w:szCs w:val="18"/>
              </w:rPr>
              <w:t>ές Αρχές</w:t>
            </w:r>
            <w:r w:rsidR="009153E1">
              <w:rPr>
                <w:rFonts w:cs="Calibri"/>
                <w:bCs/>
                <w:sz w:val="18"/>
                <w:szCs w:val="18"/>
              </w:rPr>
              <w:t xml:space="preserve"> και τις Εποπτικές Αρχές, προκειμένου </w:t>
            </w:r>
            <w:r w:rsidR="009153E1" w:rsidRPr="009153E1">
              <w:rPr>
                <w:rFonts w:cs="Calibri"/>
                <w:bCs/>
                <w:sz w:val="18"/>
                <w:szCs w:val="18"/>
              </w:rPr>
              <w:t xml:space="preserve">να συμβάλει στην αντιμετώπιση των αρνητικών επιπτώσεων της πανδημίας και της </w:t>
            </w:r>
            <w:r w:rsidR="009153E1">
              <w:rPr>
                <w:rFonts w:cs="Calibri"/>
                <w:bCs/>
                <w:sz w:val="18"/>
                <w:szCs w:val="18"/>
              </w:rPr>
              <w:t xml:space="preserve">διαταραχής </w:t>
            </w:r>
            <w:r w:rsidR="009153E1" w:rsidRPr="009153E1">
              <w:rPr>
                <w:rFonts w:cs="Calibri"/>
                <w:bCs/>
                <w:sz w:val="18"/>
                <w:szCs w:val="18"/>
              </w:rPr>
              <w:t>της οικονομικής δραστηριότητας.</w:t>
            </w:r>
            <w:r w:rsidR="007F3833" w:rsidRPr="009153E1">
              <w:rPr>
                <w:rFonts w:cs="Calibri"/>
                <w:bCs/>
                <w:sz w:val="18"/>
                <w:szCs w:val="18"/>
              </w:rPr>
              <w:t xml:space="preserve"> </w:t>
            </w:r>
          </w:p>
        </w:tc>
      </w:tr>
      <w:tr w:rsidR="00FA1352" w:rsidRPr="00132B31" w:rsidTr="007D0DAE">
        <w:trPr>
          <w:trHeight w:val="962"/>
        </w:trPr>
        <w:tc>
          <w:tcPr>
            <w:tcW w:w="1701" w:type="dxa"/>
            <w:tcMar>
              <w:top w:w="57" w:type="dxa"/>
              <w:bottom w:w="57" w:type="dxa"/>
            </w:tcMar>
          </w:tcPr>
          <w:p w:rsidR="00FA1352" w:rsidRPr="00DD53B9" w:rsidRDefault="00DD53B9" w:rsidP="00B64CF0">
            <w:pPr>
              <w:tabs>
                <w:tab w:val="left" w:pos="8262"/>
              </w:tabs>
              <w:spacing w:after="60"/>
              <w:ind w:left="32" w:right="-111"/>
              <w:contextualSpacing/>
              <w:rPr>
                <w:rFonts w:cs="Calibri"/>
                <w:b/>
                <w:color w:val="6691AB"/>
              </w:rPr>
            </w:pPr>
            <w:proofErr w:type="spellStart"/>
            <w:r>
              <w:rPr>
                <w:rFonts w:eastAsiaTheme="minorEastAsia" w:cs="Calibri"/>
                <w:i/>
                <w:color w:val="6691AB"/>
                <w:sz w:val="24"/>
                <w:szCs w:val="24"/>
              </w:rPr>
              <w:t>Μορατόρια</w:t>
            </w:r>
            <w:proofErr w:type="spellEnd"/>
          </w:p>
        </w:tc>
        <w:tc>
          <w:tcPr>
            <w:tcW w:w="6946" w:type="dxa"/>
            <w:tcMar>
              <w:top w:w="57" w:type="dxa"/>
              <w:bottom w:w="57" w:type="dxa"/>
            </w:tcMar>
          </w:tcPr>
          <w:p w:rsidR="00FA1352" w:rsidRDefault="00132B31" w:rsidP="00B64CF0">
            <w:pPr>
              <w:jc w:val="both"/>
              <w:rPr>
                <w:rFonts w:cs="Calibri"/>
                <w:bCs/>
                <w:sz w:val="18"/>
                <w:szCs w:val="18"/>
              </w:rPr>
            </w:pPr>
            <w:r w:rsidRPr="00132B31">
              <w:rPr>
                <w:rFonts w:cs="Calibri"/>
                <w:bCs/>
                <w:sz w:val="18"/>
                <w:szCs w:val="18"/>
              </w:rPr>
              <w:t>Στις 17 και 19 Μαρτίου 2020, η Ελληνική Ένωση Τραπεζών</w:t>
            </w:r>
            <w:r w:rsidR="00FA1352" w:rsidRPr="007B486E">
              <w:rPr>
                <w:rFonts w:cs="Calibri"/>
                <w:sz w:val="18"/>
                <w:szCs w:val="18"/>
                <w:vertAlign w:val="superscript"/>
                <w:lang w:val="en-US"/>
              </w:rPr>
              <w:footnoteReference w:id="2"/>
            </w:r>
            <w:r w:rsidR="00FA1352" w:rsidRPr="00132B31">
              <w:rPr>
                <w:rFonts w:cs="Calibri"/>
                <w:sz w:val="18"/>
                <w:szCs w:val="18"/>
              </w:rPr>
              <w:t xml:space="preserve"> </w:t>
            </w:r>
            <w:r w:rsidR="00FD4C74">
              <w:rPr>
                <w:rFonts w:cs="Calibri"/>
                <w:bCs/>
                <w:sz w:val="18"/>
                <w:szCs w:val="18"/>
              </w:rPr>
              <w:t xml:space="preserve">ανακοίνωσε τη στήριξη σε </w:t>
            </w:r>
            <w:r w:rsidRPr="00132B31">
              <w:rPr>
                <w:rFonts w:cs="Calibri"/>
                <w:bCs/>
                <w:sz w:val="18"/>
                <w:szCs w:val="18"/>
              </w:rPr>
              <w:t xml:space="preserve">επιχειρήσεις και φυσικά πρόσωπα (εργαζόμενους, ελεύθερους επαγγελματίες και ατομικές επιχειρήσεις) που πλήττονται από την κρίση. Για την κατηγορία των φυσικών προσώπων, οι τράπεζες προσφέρουν αναστολή των δόσεων των ενήμερων δανείων τους για διάστημα τριών μηνών, ενώ </w:t>
            </w:r>
            <w:r w:rsidR="00FD4C74">
              <w:rPr>
                <w:rFonts w:cs="Calibri"/>
                <w:bCs/>
                <w:sz w:val="18"/>
                <w:szCs w:val="18"/>
              </w:rPr>
              <w:t xml:space="preserve">υφίσταται </w:t>
            </w:r>
            <w:r w:rsidR="00DD53B9">
              <w:rPr>
                <w:rFonts w:cs="Calibri"/>
                <w:bCs/>
                <w:sz w:val="18"/>
                <w:szCs w:val="18"/>
              </w:rPr>
              <w:t>ενδεχόμενο</w:t>
            </w:r>
            <w:r w:rsidRPr="00132B31">
              <w:rPr>
                <w:rFonts w:cs="Calibri"/>
                <w:bCs/>
                <w:sz w:val="18"/>
                <w:szCs w:val="18"/>
              </w:rPr>
              <w:t xml:space="preserve"> επέκτασης της αναστολής για άλλο ένα τρίμηνο. Για τις πληγείσες επιχειρήσεις αντίστοιχα, οι τράπεζες προσφέρουν αναστολή της πληρωμής των δόσεων κεφαλαίου ενήμερων δανείων για έξι μήνες.</w:t>
            </w:r>
          </w:p>
          <w:p w:rsidR="00DF4AE0" w:rsidRPr="00132B31" w:rsidRDefault="00DF4AE0" w:rsidP="00B64CF0">
            <w:pPr>
              <w:jc w:val="both"/>
              <w:rPr>
                <w:rFonts w:cs="Calibri"/>
                <w:sz w:val="18"/>
                <w:szCs w:val="18"/>
              </w:rPr>
            </w:pPr>
          </w:p>
        </w:tc>
      </w:tr>
      <w:tr w:rsidR="00FA1352" w:rsidRPr="00132B31" w:rsidTr="007D0DAE">
        <w:trPr>
          <w:trHeight w:val="1013"/>
        </w:trPr>
        <w:tc>
          <w:tcPr>
            <w:tcW w:w="1701" w:type="dxa"/>
            <w:tcMar>
              <w:top w:w="57" w:type="dxa"/>
              <w:bottom w:w="57" w:type="dxa"/>
            </w:tcMar>
          </w:tcPr>
          <w:p w:rsidR="00175A2E" w:rsidRDefault="00175A2E" w:rsidP="00175A2E">
            <w:pPr>
              <w:tabs>
                <w:tab w:val="left" w:pos="8262"/>
              </w:tabs>
              <w:spacing w:after="60"/>
              <w:ind w:left="32" w:right="74"/>
              <w:contextualSpacing/>
              <w:rPr>
                <w:rFonts w:eastAsiaTheme="minorEastAsia" w:cs="Calibri"/>
                <w:i/>
                <w:color w:val="6691AB"/>
                <w:spacing w:val="-6"/>
                <w:sz w:val="24"/>
                <w:szCs w:val="24"/>
              </w:rPr>
            </w:pPr>
            <w:r w:rsidRPr="00175A2E">
              <w:rPr>
                <w:rFonts w:eastAsiaTheme="minorEastAsia" w:cs="Calibri"/>
                <w:i/>
                <w:color w:val="6691AB"/>
                <w:spacing w:val="-6"/>
                <w:sz w:val="24"/>
                <w:szCs w:val="24"/>
              </w:rPr>
              <w:t xml:space="preserve">Κλάδοι που επηρεάστηκαν από τον </w:t>
            </w:r>
          </w:p>
          <w:p w:rsidR="00FA1352" w:rsidRPr="00175A2E" w:rsidRDefault="00892CB9" w:rsidP="00892CB9">
            <w:pPr>
              <w:tabs>
                <w:tab w:val="left" w:pos="8262"/>
              </w:tabs>
              <w:spacing w:after="60"/>
              <w:ind w:left="32" w:right="74"/>
              <w:contextualSpacing/>
              <w:rPr>
                <w:rFonts w:eastAsiaTheme="minorEastAsia" w:cs="Calibri"/>
                <w:i/>
                <w:color w:val="6691AB"/>
                <w:spacing w:val="-6"/>
                <w:sz w:val="24"/>
                <w:szCs w:val="24"/>
              </w:rPr>
            </w:pPr>
            <w:r>
              <w:rPr>
                <w:rFonts w:eastAsiaTheme="minorEastAsia" w:cs="Calibri"/>
                <w:i/>
                <w:color w:val="6691AB"/>
                <w:spacing w:val="-6"/>
                <w:sz w:val="24"/>
                <w:szCs w:val="24"/>
                <w:lang w:val="en-US"/>
              </w:rPr>
              <w:t>COVID</w:t>
            </w:r>
            <w:r w:rsidR="00FA1352" w:rsidRPr="00175A2E">
              <w:rPr>
                <w:rFonts w:eastAsiaTheme="minorEastAsia" w:cs="Calibri"/>
                <w:i/>
                <w:color w:val="6691AB"/>
                <w:spacing w:val="-6"/>
                <w:sz w:val="24"/>
                <w:szCs w:val="24"/>
              </w:rPr>
              <w:t>-19</w:t>
            </w:r>
          </w:p>
        </w:tc>
        <w:tc>
          <w:tcPr>
            <w:tcW w:w="6946" w:type="dxa"/>
            <w:tcMar>
              <w:top w:w="57" w:type="dxa"/>
              <w:bottom w:w="57" w:type="dxa"/>
            </w:tcMar>
          </w:tcPr>
          <w:p w:rsidR="00FA1352" w:rsidRPr="00132B31" w:rsidRDefault="00132B31" w:rsidP="001458E9">
            <w:pPr>
              <w:pBdr>
                <w:top w:val="nil"/>
                <w:left w:val="nil"/>
                <w:bottom w:val="nil"/>
                <w:right w:val="nil"/>
                <w:between w:val="nil"/>
                <w:bar w:val="nil"/>
              </w:pBdr>
              <w:jc w:val="both"/>
              <w:rPr>
                <w:rFonts w:cs="Calibri"/>
                <w:sz w:val="18"/>
                <w:szCs w:val="18"/>
              </w:rPr>
            </w:pPr>
            <w:r w:rsidRPr="00132B31">
              <w:rPr>
                <w:rFonts w:cs="Calibri"/>
                <w:bCs/>
                <w:sz w:val="18"/>
                <w:szCs w:val="18"/>
              </w:rPr>
              <w:t>Στις 20 Μαρτίου 2020, το Υπουργείο Οικονομικών δημοσίευσε κατάλογο με τους ΚΑΔ (Κωδικοί Αριθμοί Δραστηριότητας) των κλάδων που πλήττονται από την εξάπλ</w:t>
            </w:r>
            <w:r w:rsidR="00DD53B9">
              <w:rPr>
                <w:rFonts w:cs="Calibri"/>
                <w:bCs/>
                <w:sz w:val="18"/>
                <w:szCs w:val="18"/>
              </w:rPr>
              <w:t xml:space="preserve">ωση του COVID-19. Οι </w:t>
            </w:r>
            <w:r w:rsidRPr="00132B31">
              <w:rPr>
                <w:rFonts w:cs="Calibri"/>
                <w:bCs/>
                <w:sz w:val="18"/>
                <w:szCs w:val="18"/>
              </w:rPr>
              <w:t xml:space="preserve">επιχειρήσεις </w:t>
            </w:r>
            <w:r w:rsidR="00DD53B9">
              <w:rPr>
                <w:rFonts w:cs="Calibri"/>
                <w:bCs/>
                <w:sz w:val="18"/>
                <w:szCs w:val="18"/>
              </w:rPr>
              <w:t xml:space="preserve">του ιδιωτικού τομέα, οι οποίες </w:t>
            </w:r>
            <w:r w:rsidRPr="00132B31">
              <w:rPr>
                <w:rFonts w:cs="Calibri"/>
                <w:bCs/>
                <w:sz w:val="18"/>
                <w:szCs w:val="18"/>
              </w:rPr>
              <w:t>που έχουν κύριο ΚΑΔ έναν από εκείνους που περιλαμβάνονται στον εν λόγω κατάλογο, εντάσσονται στα μέτρα στήριξης κατά της πανδημίας που έχει εξαγγείλει η ελληνική κυβέρνηση. Επισημαίνεται ότι, ο εν λόγω κατάλογος είναι δυναμικός και έχει μεταβληθεί με αντίστοιχες Υπουργικές Αποφάσεις κατά την εξέλιξη της κρίσης.</w:t>
            </w:r>
          </w:p>
        </w:tc>
      </w:tr>
      <w:tr w:rsidR="00FA1352" w:rsidRPr="00132B31" w:rsidTr="007D0DAE">
        <w:trPr>
          <w:trHeight w:val="434"/>
        </w:trPr>
        <w:tc>
          <w:tcPr>
            <w:tcW w:w="1701" w:type="dxa"/>
            <w:tcMar>
              <w:top w:w="57" w:type="dxa"/>
              <w:bottom w:w="57" w:type="dxa"/>
            </w:tcMar>
          </w:tcPr>
          <w:p w:rsidR="00DF4AE0" w:rsidRPr="009C4168" w:rsidRDefault="00DF4AE0" w:rsidP="00B64CF0">
            <w:pPr>
              <w:tabs>
                <w:tab w:val="left" w:pos="8262"/>
              </w:tabs>
              <w:spacing w:after="60"/>
              <w:ind w:right="30"/>
              <w:contextualSpacing/>
              <w:rPr>
                <w:rFonts w:eastAsiaTheme="minorEastAsia" w:cs="Calibri"/>
                <w:i/>
                <w:color w:val="6691AB"/>
                <w:spacing w:val="-4"/>
                <w:sz w:val="10"/>
                <w:szCs w:val="24"/>
              </w:rPr>
            </w:pPr>
          </w:p>
          <w:p w:rsidR="00FA1352" w:rsidRPr="00B64CF0" w:rsidRDefault="00132B31" w:rsidP="00B64CF0">
            <w:pPr>
              <w:tabs>
                <w:tab w:val="left" w:pos="8262"/>
              </w:tabs>
              <w:spacing w:after="60"/>
              <w:ind w:right="30"/>
              <w:contextualSpacing/>
              <w:rPr>
                <w:rFonts w:eastAsiaTheme="minorEastAsia" w:cs="Calibri"/>
                <w:i/>
                <w:color w:val="6691AB"/>
                <w:spacing w:val="-4"/>
                <w:sz w:val="24"/>
                <w:szCs w:val="24"/>
              </w:rPr>
            </w:pPr>
            <w:r w:rsidRPr="00B64CF0">
              <w:rPr>
                <w:rFonts w:eastAsiaTheme="minorEastAsia" w:cs="Calibri"/>
                <w:i/>
                <w:color w:val="6691AB"/>
                <w:spacing w:val="-4"/>
                <w:sz w:val="24"/>
                <w:szCs w:val="24"/>
              </w:rPr>
              <w:t>Πιθανές επιπτώσεις</w:t>
            </w:r>
            <w:r w:rsidR="00FA1352" w:rsidRPr="00B64CF0">
              <w:rPr>
                <w:rFonts w:eastAsiaTheme="minorEastAsia" w:cs="Calibri"/>
                <w:i/>
                <w:color w:val="6691AB"/>
                <w:spacing w:val="-4"/>
                <w:sz w:val="24"/>
                <w:szCs w:val="24"/>
              </w:rPr>
              <w:t xml:space="preserve"> </w:t>
            </w:r>
            <w:r w:rsidRPr="00B64CF0">
              <w:rPr>
                <w:rFonts w:eastAsiaTheme="minorEastAsia" w:cs="Calibri"/>
                <w:i/>
                <w:color w:val="6691AB"/>
                <w:spacing w:val="-4"/>
                <w:sz w:val="24"/>
                <w:szCs w:val="24"/>
              </w:rPr>
              <w:t>στο ενήμερο επιχειρηματικό χαρτοφυλάκιο</w:t>
            </w:r>
          </w:p>
        </w:tc>
        <w:tc>
          <w:tcPr>
            <w:tcW w:w="6946" w:type="dxa"/>
            <w:tcMar>
              <w:top w:w="57" w:type="dxa"/>
              <w:bottom w:w="57" w:type="dxa"/>
            </w:tcMar>
          </w:tcPr>
          <w:p w:rsidR="00FA1352" w:rsidRPr="009D5471" w:rsidRDefault="00132B31" w:rsidP="00FD4C74">
            <w:pPr>
              <w:pStyle w:val="BodyText"/>
              <w:spacing w:before="120" w:line="240" w:lineRule="auto"/>
              <w:rPr>
                <w:rFonts w:cs="Calibri"/>
                <w:bCs/>
                <w:color w:val="000000" w:themeColor="text1"/>
                <w:sz w:val="18"/>
                <w:szCs w:val="18"/>
                <w:lang w:val="el-GR"/>
              </w:rPr>
            </w:pPr>
            <w:r w:rsidRPr="00132B31">
              <w:rPr>
                <w:rFonts w:cs="Calibri"/>
                <w:bCs/>
                <w:color w:val="000000" w:themeColor="text1"/>
                <w:sz w:val="18"/>
                <w:szCs w:val="18"/>
                <w:lang w:val="el-GR"/>
              </w:rPr>
              <w:t xml:space="preserve">Ταυτόχρονα, η Τράπεζα Πειραιώς έχει προβεί σε βαθμονόμηση των δυνητικών επιπτώσεων  στο ενήμερο επιχειρηματικό χαρτοφυλάκιό της ύψους </w:t>
            </w:r>
            <w:r w:rsidR="00DF4AE0">
              <w:rPr>
                <w:rFonts w:cs="Calibri"/>
                <w:bCs/>
                <w:color w:val="000000" w:themeColor="text1"/>
                <w:sz w:val="18"/>
                <w:szCs w:val="18"/>
                <w:lang w:val="el-GR"/>
              </w:rPr>
              <w:t xml:space="preserve">περίπου </w:t>
            </w:r>
            <w:r w:rsidRPr="00132B31">
              <w:rPr>
                <w:rFonts w:cs="Calibri"/>
                <w:bCs/>
                <w:color w:val="000000" w:themeColor="text1"/>
                <w:sz w:val="18"/>
                <w:szCs w:val="18"/>
                <w:lang w:val="el-GR"/>
              </w:rPr>
              <w:t>€</w:t>
            </w:r>
            <w:r w:rsidR="00DD53B9">
              <w:rPr>
                <w:rFonts w:cs="Calibri"/>
                <w:bCs/>
                <w:color w:val="000000" w:themeColor="text1"/>
                <w:sz w:val="18"/>
                <w:szCs w:val="18"/>
                <w:lang w:val="el-GR"/>
              </w:rPr>
              <w:t>15</w:t>
            </w:r>
            <w:r w:rsidRPr="00132B31">
              <w:rPr>
                <w:rFonts w:cs="Calibri"/>
                <w:bCs/>
                <w:color w:val="000000" w:themeColor="text1"/>
                <w:sz w:val="18"/>
                <w:szCs w:val="18"/>
                <w:lang w:val="el-GR"/>
              </w:rPr>
              <w:t>δι</w:t>
            </w:r>
            <w:r w:rsidR="00DF4AE0">
              <w:rPr>
                <w:rFonts w:cs="Calibri"/>
                <w:bCs/>
                <w:color w:val="000000" w:themeColor="text1"/>
                <w:sz w:val="18"/>
                <w:szCs w:val="18"/>
                <w:lang w:val="el-GR"/>
              </w:rPr>
              <w:t>σ.</w:t>
            </w:r>
            <w:r w:rsidRPr="00132B31">
              <w:rPr>
                <w:rFonts w:cs="Calibri"/>
                <w:bCs/>
                <w:color w:val="000000" w:themeColor="text1"/>
                <w:sz w:val="18"/>
                <w:szCs w:val="18"/>
                <w:lang w:val="el-GR"/>
              </w:rPr>
              <w:t xml:space="preserve">, προερχόμενων από την επιβολή της αναστολής των δραστηριοτήτων τους λόγω </w:t>
            </w:r>
            <w:r w:rsidRPr="00132B31">
              <w:rPr>
                <w:rFonts w:cs="Calibri"/>
                <w:bCs/>
                <w:color w:val="000000" w:themeColor="text1"/>
                <w:sz w:val="18"/>
                <w:szCs w:val="18"/>
              </w:rPr>
              <w:t>COVID</w:t>
            </w:r>
            <w:r w:rsidRPr="00132B31">
              <w:rPr>
                <w:rFonts w:cs="Calibri"/>
                <w:bCs/>
                <w:color w:val="000000" w:themeColor="text1"/>
                <w:sz w:val="18"/>
                <w:szCs w:val="18"/>
                <w:lang w:val="el-GR"/>
              </w:rPr>
              <w:t xml:space="preserve">-19. Ειδικότερα, επιχειρηματικοί πελάτες της Τράπεζας που δραστηριοποιούνται σε κλάδους του </w:t>
            </w:r>
            <w:r w:rsidR="00DD53B9">
              <w:rPr>
                <w:rFonts w:cs="Calibri"/>
                <w:bCs/>
                <w:color w:val="000000" w:themeColor="text1"/>
                <w:sz w:val="18"/>
                <w:szCs w:val="18"/>
                <w:lang w:val="el-GR"/>
              </w:rPr>
              <w:t>ε</w:t>
            </w:r>
            <w:r w:rsidRPr="00132B31">
              <w:rPr>
                <w:rFonts w:cs="Calibri"/>
                <w:bCs/>
                <w:color w:val="000000" w:themeColor="text1"/>
                <w:sz w:val="18"/>
                <w:szCs w:val="18"/>
                <w:lang w:val="el-GR"/>
              </w:rPr>
              <w:t xml:space="preserve">μπορίου, </w:t>
            </w:r>
            <w:r w:rsidR="00DD53B9">
              <w:rPr>
                <w:rFonts w:cs="Calibri"/>
                <w:bCs/>
                <w:color w:val="000000" w:themeColor="text1"/>
                <w:sz w:val="18"/>
                <w:szCs w:val="18"/>
                <w:lang w:val="el-GR"/>
              </w:rPr>
              <w:t>β</w:t>
            </w:r>
            <w:r w:rsidRPr="00132B31">
              <w:rPr>
                <w:rFonts w:cs="Calibri"/>
                <w:bCs/>
                <w:color w:val="000000" w:themeColor="text1"/>
                <w:sz w:val="18"/>
                <w:szCs w:val="18"/>
                <w:lang w:val="el-GR"/>
              </w:rPr>
              <w:t xml:space="preserve">ιοτεχνίας και </w:t>
            </w:r>
            <w:r w:rsidR="00DD53B9">
              <w:rPr>
                <w:rFonts w:cs="Calibri"/>
                <w:bCs/>
                <w:color w:val="000000" w:themeColor="text1"/>
                <w:sz w:val="18"/>
                <w:szCs w:val="18"/>
                <w:lang w:val="el-GR"/>
              </w:rPr>
              <w:t>μ</w:t>
            </w:r>
            <w:r w:rsidRPr="00132B31">
              <w:rPr>
                <w:rFonts w:cs="Calibri"/>
                <w:bCs/>
                <w:color w:val="000000" w:themeColor="text1"/>
                <w:sz w:val="18"/>
                <w:szCs w:val="18"/>
                <w:lang w:val="el-GR"/>
              </w:rPr>
              <w:t xml:space="preserve">εταποίησης, </w:t>
            </w:r>
            <w:r w:rsidR="00DD53B9">
              <w:rPr>
                <w:rFonts w:cs="Calibri"/>
                <w:bCs/>
                <w:color w:val="000000" w:themeColor="text1"/>
                <w:sz w:val="18"/>
                <w:szCs w:val="18"/>
                <w:lang w:val="el-GR"/>
              </w:rPr>
              <w:t>μ</w:t>
            </w:r>
            <w:r w:rsidRPr="00132B31">
              <w:rPr>
                <w:rFonts w:cs="Calibri"/>
                <w:bCs/>
                <w:color w:val="000000" w:themeColor="text1"/>
                <w:sz w:val="18"/>
                <w:szCs w:val="18"/>
                <w:lang w:val="el-GR"/>
              </w:rPr>
              <w:t xml:space="preserve">εταφορών και </w:t>
            </w:r>
            <w:r w:rsidR="00DD53B9">
              <w:rPr>
                <w:rFonts w:cs="Calibri"/>
                <w:bCs/>
                <w:color w:val="000000" w:themeColor="text1"/>
                <w:sz w:val="18"/>
                <w:szCs w:val="18"/>
                <w:lang w:val="el-GR"/>
              </w:rPr>
              <w:t>ε</w:t>
            </w:r>
            <w:r w:rsidRPr="00132B31">
              <w:rPr>
                <w:rFonts w:cs="Calibri"/>
                <w:bCs/>
                <w:color w:val="000000" w:themeColor="text1"/>
                <w:sz w:val="18"/>
                <w:szCs w:val="18"/>
                <w:lang w:val="el-GR"/>
              </w:rPr>
              <w:t xml:space="preserve">φοδιαστικής </w:t>
            </w:r>
            <w:r w:rsidR="00DD53B9">
              <w:rPr>
                <w:rFonts w:cs="Calibri"/>
                <w:bCs/>
                <w:color w:val="000000" w:themeColor="text1"/>
                <w:sz w:val="18"/>
                <w:szCs w:val="18"/>
                <w:lang w:val="el-GR"/>
              </w:rPr>
              <w:t>α</w:t>
            </w:r>
            <w:r w:rsidRPr="00132B31">
              <w:rPr>
                <w:rFonts w:cs="Calibri"/>
                <w:bCs/>
                <w:color w:val="000000" w:themeColor="text1"/>
                <w:sz w:val="18"/>
                <w:szCs w:val="18"/>
                <w:lang w:val="el-GR"/>
              </w:rPr>
              <w:t xml:space="preserve">λυσίδας, </w:t>
            </w:r>
            <w:r w:rsidR="00DD53B9">
              <w:rPr>
                <w:rFonts w:cs="Calibri"/>
                <w:bCs/>
                <w:color w:val="000000" w:themeColor="text1"/>
                <w:sz w:val="18"/>
                <w:szCs w:val="18"/>
                <w:lang w:val="el-GR"/>
              </w:rPr>
              <w:t>ξ</w:t>
            </w:r>
            <w:r w:rsidRPr="00132B31">
              <w:rPr>
                <w:rFonts w:cs="Calibri"/>
                <w:bCs/>
                <w:color w:val="000000" w:themeColor="text1"/>
                <w:sz w:val="18"/>
                <w:szCs w:val="18"/>
                <w:lang w:val="el-GR"/>
              </w:rPr>
              <w:t xml:space="preserve">ενοδοχείων και </w:t>
            </w:r>
            <w:r w:rsidR="00DD53B9">
              <w:rPr>
                <w:rFonts w:cs="Calibri"/>
                <w:bCs/>
                <w:color w:val="000000" w:themeColor="text1"/>
                <w:sz w:val="18"/>
                <w:szCs w:val="18"/>
                <w:lang w:val="el-GR"/>
              </w:rPr>
              <w:t>ε</w:t>
            </w:r>
            <w:r w:rsidRPr="00132B31">
              <w:rPr>
                <w:rFonts w:cs="Calibri"/>
                <w:bCs/>
                <w:color w:val="000000" w:themeColor="text1"/>
                <w:sz w:val="18"/>
                <w:szCs w:val="18"/>
                <w:lang w:val="el-GR"/>
              </w:rPr>
              <w:t>στίασης (περίπου 1/3 του ενήμερου</w:t>
            </w:r>
            <w:r w:rsidR="00FD4C74">
              <w:rPr>
                <w:rFonts w:cs="Calibri"/>
                <w:bCs/>
                <w:color w:val="000000" w:themeColor="text1"/>
                <w:sz w:val="18"/>
                <w:szCs w:val="18"/>
                <w:lang w:val="el-GR"/>
              </w:rPr>
              <w:t xml:space="preserve"> επιχειρηματικού χαρτοφυλακίου) </w:t>
            </w:r>
            <w:r w:rsidRPr="00132B31">
              <w:rPr>
                <w:rFonts w:cs="Calibri"/>
                <w:bCs/>
                <w:color w:val="000000" w:themeColor="text1"/>
                <w:sz w:val="18"/>
                <w:szCs w:val="18"/>
                <w:lang w:val="el-GR"/>
              </w:rPr>
              <w:t xml:space="preserve">έχουν </w:t>
            </w:r>
            <w:r w:rsidR="00DD53B9">
              <w:rPr>
                <w:rFonts w:cs="Calibri"/>
                <w:bCs/>
                <w:color w:val="000000" w:themeColor="text1"/>
                <w:sz w:val="18"/>
                <w:szCs w:val="18"/>
                <w:lang w:val="el-GR"/>
              </w:rPr>
              <w:t>προσδιορισθεί</w:t>
            </w:r>
            <w:r w:rsidRPr="00132B31">
              <w:rPr>
                <w:rFonts w:cs="Calibri"/>
                <w:bCs/>
                <w:color w:val="000000" w:themeColor="text1"/>
                <w:sz w:val="18"/>
                <w:szCs w:val="18"/>
                <w:lang w:val="el-GR"/>
              </w:rPr>
              <w:t xml:space="preserve"> ότι πλήττονται σε μεγάλο βαθμό και ενδέχεται να χρειασθούν, είτε προσφορά </w:t>
            </w:r>
            <w:proofErr w:type="spellStart"/>
            <w:r w:rsidRPr="00132B31">
              <w:rPr>
                <w:rFonts w:cs="Calibri"/>
                <w:bCs/>
                <w:color w:val="000000" w:themeColor="text1"/>
                <w:sz w:val="18"/>
                <w:szCs w:val="18"/>
                <w:lang w:val="el-GR"/>
              </w:rPr>
              <w:t>στοχευμένων</w:t>
            </w:r>
            <w:proofErr w:type="spellEnd"/>
            <w:r w:rsidRPr="00132B31">
              <w:rPr>
                <w:rFonts w:cs="Calibri"/>
                <w:bCs/>
                <w:color w:val="000000" w:themeColor="text1"/>
                <w:sz w:val="18"/>
                <w:szCs w:val="18"/>
                <w:lang w:val="el-GR"/>
              </w:rPr>
              <w:t xml:space="preserve"> λύσεων παροχής ρευστότητας για την κάλυψη </w:t>
            </w:r>
            <w:r w:rsidR="001458E9">
              <w:rPr>
                <w:rFonts w:cs="Calibri"/>
                <w:bCs/>
                <w:color w:val="000000" w:themeColor="text1"/>
                <w:sz w:val="18"/>
                <w:szCs w:val="18"/>
                <w:lang w:val="el-GR"/>
              </w:rPr>
              <w:t xml:space="preserve">των </w:t>
            </w:r>
            <w:r w:rsidRPr="00132B31">
              <w:rPr>
                <w:rFonts w:cs="Calibri"/>
                <w:bCs/>
                <w:color w:val="000000" w:themeColor="text1"/>
                <w:sz w:val="18"/>
                <w:szCs w:val="18"/>
                <w:lang w:val="el-GR"/>
              </w:rPr>
              <w:t xml:space="preserve">αναγκών τους, ή </w:t>
            </w:r>
            <w:proofErr w:type="spellStart"/>
            <w:r w:rsidRPr="00132B31">
              <w:rPr>
                <w:rFonts w:cs="Calibri"/>
                <w:bCs/>
                <w:color w:val="000000" w:themeColor="text1"/>
                <w:sz w:val="18"/>
                <w:szCs w:val="18"/>
                <w:lang w:val="el-GR"/>
              </w:rPr>
              <w:t>τν</w:t>
            </w:r>
            <w:proofErr w:type="spellEnd"/>
            <w:r w:rsidRPr="00132B31">
              <w:rPr>
                <w:rFonts w:cs="Calibri"/>
                <w:bCs/>
                <w:color w:val="000000" w:themeColor="text1"/>
                <w:sz w:val="18"/>
                <w:szCs w:val="18"/>
                <w:lang w:val="el-GR"/>
              </w:rPr>
              <w:t xml:space="preserve"> αναστολή καταβολής</w:t>
            </w:r>
            <w:r w:rsidR="009D5471">
              <w:rPr>
                <w:rFonts w:cs="Calibri"/>
                <w:bCs/>
                <w:color w:val="000000" w:themeColor="text1"/>
                <w:sz w:val="18"/>
                <w:szCs w:val="18"/>
                <w:lang w:val="el-GR"/>
              </w:rPr>
              <w:t xml:space="preserve"> δόσεων κεφαλαίου (χρεολυσίων).</w:t>
            </w:r>
          </w:p>
        </w:tc>
      </w:tr>
      <w:tr w:rsidR="00FA1352" w:rsidRPr="00255132" w:rsidTr="007D0DAE">
        <w:trPr>
          <w:trHeight w:val="434"/>
        </w:trPr>
        <w:tc>
          <w:tcPr>
            <w:tcW w:w="1701" w:type="dxa"/>
            <w:tcMar>
              <w:top w:w="57" w:type="dxa"/>
              <w:bottom w:w="57" w:type="dxa"/>
            </w:tcMar>
          </w:tcPr>
          <w:p w:rsidR="00DF4AE0" w:rsidRPr="009C4168" w:rsidRDefault="00DF4AE0" w:rsidP="00B64CF0">
            <w:pPr>
              <w:tabs>
                <w:tab w:val="left" w:pos="8262"/>
              </w:tabs>
              <w:spacing w:after="60"/>
              <w:ind w:left="32" w:right="-111"/>
              <w:contextualSpacing/>
              <w:rPr>
                <w:rFonts w:eastAsiaTheme="minorEastAsia" w:cs="Calibri"/>
                <w:i/>
                <w:color w:val="6691AB"/>
                <w:spacing w:val="-6"/>
                <w:sz w:val="14"/>
                <w:szCs w:val="24"/>
              </w:rPr>
            </w:pPr>
          </w:p>
          <w:p w:rsidR="00FA1352" w:rsidRPr="00DF4AE0" w:rsidRDefault="00132B31" w:rsidP="00B64CF0">
            <w:pPr>
              <w:tabs>
                <w:tab w:val="left" w:pos="8262"/>
              </w:tabs>
              <w:spacing w:after="60"/>
              <w:ind w:left="32" w:right="-111"/>
              <w:contextualSpacing/>
              <w:rPr>
                <w:rFonts w:eastAsiaTheme="minorEastAsia" w:cs="Calibri"/>
                <w:i/>
                <w:color w:val="6691AB"/>
                <w:spacing w:val="-10"/>
                <w:sz w:val="24"/>
                <w:szCs w:val="24"/>
              </w:rPr>
            </w:pPr>
            <w:r w:rsidRPr="00DF4AE0">
              <w:rPr>
                <w:rFonts w:eastAsiaTheme="minorEastAsia" w:cs="Calibri"/>
                <w:i/>
                <w:color w:val="6691AB"/>
                <w:spacing w:val="-10"/>
                <w:sz w:val="24"/>
                <w:szCs w:val="24"/>
              </w:rPr>
              <w:t>Υποστήριξη στ</w:t>
            </w:r>
            <w:r w:rsidR="00DD53B9">
              <w:rPr>
                <w:rFonts w:eastAsiaTheme="minorEastAsia" w:cs="Calibri"/>
                <w:i/>
                <w:color w:val="6691AB"/>
                <w:spacing w:val="-10"/>
                <w:sz w:val="24"/>
                <w:szCs w:val="24"/>
              </w:rPr>
              <w:t>ις</w:t>
            </w:r>
            <w:r w:rsidRPr="00DF4AE0">
              <w:rPr>
                <w:rFonts w:eastAsiaTheme="minorEastAsia" w:cs="Calibri"/>
                <w:i/>
                <w:color w:val="6691AB"/>
                <w:spacing w:val="-10"/>
                <w:sz w:val="24"/>
                <w:szCs w:val="24"/>
              </w:rPr>
              <w:t xml:space="preserve"> </w:t>
            </w:r>
            <w:r w:rsidR="00DD53B9">
              <w:rPr>
                <w:rFonts w:eastAsiaTheme="minorEastAsia" w:cs="Calibri"/>
                <w:i/>
                <w:color w:val="6691AB"/>
                <w:spacing w:val="-10"/>
                <w:sz w:val="24"/>
                <w:szCs w:val="24"/>
              </w:rPr>
              <w:t>πληγείσες επιχειρήσεις</w:t>
            </w:r>
          </w:p>
          <w:p w:rsidR="007D0DAE" w:rsidRPr="00231D45" w:rsidRDefault="007D0DAE" w:rsidP="007D0DAE">
            <w:pPr>
              <w:tabs>
                <w:tab w:val="left" w:pos="8262"/>
              </w:tabs>
              <w:spacing w:after="60"/>
              <w:ind w:right="74"/>
              <w:contextualSpacing/>
              <w:rPr>
                <w:rFonts w:eastAsiaTheme="minorEastAsia" w:cs="Calibri"/>
                <w:i/>
                <w:color w:val="6691AB"/>
                <w:sz w:val="24"/>
                <w:szCs w:val="24"/>
              </w:rPr>
            </w:pPr>
          </w:p>
          <w:p w:rsidR="009A2546" w:rsidRPr="009C4168" w:rsidRDefault="009A2546" w:rsidP="00B64CF0">
            <w:pPr>
              <w:tabs>
                <w:tab w:val="left" w:pos="8262"/>
              </w:tabs>
              <w:spacing w:after="60"/>
              <w:contextualSpacing/>
              <w:rPr>
                <w:rFonts w:eastAsiaTheme="minorEastAsia" w:cs="Calibri"/>
                <w:i/>
                <w:color w:val="6691AB"/>
                <w:spacing w:val="-4"/>
                <w:sz w:val="16"/>
                <w:szCs w:val="24"/>
              </w:rPr>
            </w:pPr>
          </w:p>
          <w:p w:rsidR="00DD53B9" w:rsidRDefault="00DD53B9" w:rsidP="00B64CF0">
            <w:pPr>
              <w:tabs>
                <w:tab w:val="left" w:pos="8262"/>
              </w:tabs>
              <w:spacing w:after="60"/>
              <w:contextualSpacing/>
              <w:rPr>
                <w:rFonts w:eastAsiaTheme="minorEastAsia" w:cs="Calibri"/>
                <w:i/>
                <w:color w:val="6691AB"/>
                <w:spacing w:val="-4"/>
                <w:sz w:val="24"/>
                <w:szCs w:val="24"/>
              </w:rPr>
            </w:pPr>
          </w:p>
          <w:p w:rsidR="00DD53B9" w:rsidRDefault="00DD53B9" w:rsidP="00B64CF0">
            <w:pPr>
              <w:tabs>
                <w:tab w:val="left" w:pos="8262"/>
              </w:tabs>
              <w:spacing w:after="60"/>
              <w:contextualSpacing/>
              <w:rPr>
                <w:rFonts w:eastAsiaTheme="minorEastAsia" w:cs="Calibri"/>
                <w:i/>
                <w:color w:val="6691AB"/>
                <w:spacing w:val="-4"/>
                <w:sz w:val="24"/>
                <w:szCs w:val="24"/>
              </w:rPr>
            </w:pPr>
          </w:p>
          <w:p w:rsidR="00E10720" w:rsidRDefault="00E10720" w:rsidP="00B64CF0">
            <w:pPr>
              <w:tabs>
                <w:tab w:val="left" w:pos="8262"/>
              </w:tabs>
              <w:spacing w:after="60"/>
              <w:contextualSpacing/>
              <w:rPr>
                <w:rFonts w:eastAsiaTheme="minorEastAsia" w:cs="Calibri"/>
                <w:i/>
                <w:color w:val="6691AB"/>
                <w:spacing w:val="-4"/>
                <w:sz w:val="24"/>
                <w:szCs w:val="24"/>
              </w:rPr>
            </w:pPr>
          </w:p>
          <w:p w:rsidR="00567E8C" w:rsidRDefault="00567E8C" w:rsidP="00B64CF0">
            <w:pPr>
              <w:tabs>
                <w:tab w:val="left" w:pos="8262"/>
              </w:tabs>
              <w:spacing w:after="60"/>
              <w:contextualSpacing/>
              <w:rPr>
                <w:rFonts w:eastAsiaTheme="minorEastAsia" w:cs="Calibri"/>
                <w:i/>
                <w:color w:val="6691AB"/>
                <w:spacing w:val="-4"/>
                <w:sz w:val="24"/>
                <w:szCs w:val="24"/>
              </w:rPr>
            </w:pPr>
          </w:p>
          <w:p w:rsidR="00FA1352" w:rsidRPr="00B64CF0" w:rsidRDefault="00231D45" w:rsidP="00B64CF0">
            <w:pPr>
              <w:tabs>
                <w:tab w:val="left" w:pos="8262"/>
              </w:tabs>
              <w:spacing w:after="60"/>
              <w:contextualSpacing/>
              <w:rPr>
                <w:rFonts w:eastAsiaTheme="minorEastAsia" w:cs="Calibri"/>
                <w:i/>
                <w:color w:val="6691AB"/>
                <w:spacing w:val="-4"/>
                <w:sz w:val="24"/>
                <w:szCs w:val="24"/>
              </w:rPr>
            </w:pPr>
            <w:r w:rsidRPr="00B64CF0">
              <w:rPr>
                <w:rFonts w:eastAsiaTheme="minorEastAsia" w:cs="Calibri"/>
                <w:i/>
                <w:color w:val="6691AB"/>
                <w:spacing w:val="-4"/>
                <w:sz w:val="24"/>
                <w:szCs w:val="24"/>
              </w:rPr>
              <w:t xml:space="preserve">ΤΕΠΙΧ </w:t>
            </w:r>
            <w:r w:rsidRPr="00B64CF0">
              <w:rPr>
                <w:rFonts w:eastAsiaTheme="minorEastAsia" w:cs="Calibri"/>
                <w:i/>
                <w:color w:val="6691AB"/>
                <w:spacing w:val="-4"/>
                <w:sz w:val="24"/>
                <w:szCs w:val="24"/>
                <w:lang w:val="en-US"/>
              </w:rPr>
              <w:t>II</w:t>
            </w:r>
            <w:r w:rsidRPr="00B64CF0">
              <w:rPr>
                <w:rFonts w:eastAsiaTheme="minorEastAsia" w:cs="Calibri"/>
                <w:i/>
                <w:color w:val="6691AB"/>
                <w:spacing w:val="-4"/>
                <w:sz w:val="24"/>
                <w:szCs w:val="24"/>
              </w:rPr>
              <w:t xml:space="preserve">- Επιχειρηματική </w:t>
            </w:r>
            <w:r w:rsidRPr="00B64CF0">
              <w:rPr>
                <w:rFonts w:eastAsiaTheme="minorEastAsia" w:cs="Calibri"/>
                <w:i/>
                <w:color w:val="6691AB"/>
                <w:spacing w:val="-8"/>
                <w:sz w:val="24"/>
                <w:szCs w:val="24"/>
              </w:rPr>
              <w:t>Χρηματοδότηση</w:t>
            </w:r>
          </w:p>
          <w:p w:rsidR="00FA1352" w:rsidRPr="00231D45" w:rsidRDefault="00FA1352" w:rsidP="007D0DAE">
            <w:pPr>
              <w:tabs>
                <w:tab w:val="left" w:pos="8262"/>
              </w:tabs>
              <w:spacing w:after="60"/>
              <w:ind w:right="74"/>
              <w:contextualSpacing/>
              <w:rPr>
                <w:rFonts w:eastAsiaTheme="minorEastAsia" w:cs="Calibri"/>
                <w:i/>
                <w:color w:val="6691AB"/>
                <w:sz w:val="24"/>
                <w:szCs w:val="24"/>
              </w:rPr>
            </w:pPr>
          </w:p>
          <w:p w:rsidR="009D36FA" w:rsidRDefault="009D36FA" w:rsidP="007D0DAE">
            <w:pPr>
              <w:tabs>
                <w:tab w:val="left" w:pos="8262"/>
              </w:tabs>
              <w:spacing w:after="60"/>
              <w:ind w:right="74"/>
              <w:contextualSpacing/>
              <w:rPr>
                <w:rFonts w:eastAsiaTheme="minorEastAsia" w:cs="Calibri"/>
                <w:i/>
                <w:color w:val="6691AB"/>
                <w:sz w:val="24"/>
                <w:szCs w:val="24"/>
              </w:rPr>
            </w:pPr>
          </w:p>
          <w:p w:rsidR="009D36FA" w:rsidRDefault="009D36FA" w:rsidP="007D0DAE">
            <w:pPr>
              <w:tabs>
                <w:tab w:val="left" w:pos="8262"/>
              </w:tabs>
              <w:spacing w:after="60"/>
              <w:ind w:right="74"/>
              <w:contextualSpacing/>
              <w:rPr>
                <w:rFonts w:eastAsiaTheme="minorEastAsia" w:cs="Calibri"/>
                <w:i/>
                <w:color w:val="6691AB"/>
                <w:sz w:val="24"/>
                <w:szCs w:val="24"/>
              </w:rPr>
            </w:pPr>
          </w:p>
          <w:p w:rsidR="00567E8C" w:rsidRDefault="00567E8C" w:rsidP="00177722">
            <w:pPr>
              <w:tabs>
                <w:tab w:val="left" w:pos="8262"/>
              </w:tabs>
              <w:spacing w:after="60"/>
              <w:ind w:right="74"/>
              <w:contextualSpacing/>
              <w:rPr>
                <w:rFonts w:eastAsiaTheme="minorEastAsia" w:cs="Calibri"/>
                <w:i/>
                <w:color w:val="6691AB"/>
                <w:spacing w:val="-4"/>
                <w:sz w:val="24"/>
                <w:szCs w:val="24"/>
              </w:rPr>
            </w:pPr>
          </w:p>
          <w:p w:rsidR="00FA1352" w:rsidRPr="00177722" w:rsidRDefault="00231D45" w:rsidP="00177722">
            <w:pPr>
              <w:tabs>
                <w:tab w:val="left" w:pos="8262"/>
              </w:tabs>
              <w:spacing w:after="60"/>
              <w:ind w:right="74"/>
              <w:contextualSpacing/>
              <w:rPr>
                <w:rFonts w:eastAsiaTheme="minorEastAsia" w:cs="Calibri"/>
                <w:i/>
                <w:color w:val="6691AB"/>
                <w:spacing w:val="-4"/>
                <w:sz w:val="24"/>
                <w:szCs w:val="24"/>
              </w:rPr>
            </w:pPr>
            <w:r w:rsidRPr="00840C45">
              <w:rPr>
                <w:rFonts w:eastAsiaTheme="minorEastAsia" w:cs="Calibri"/>
                <w:i/>
                <w:color w:val="6691AB"/>
                <w:spacing w:val="-4"/>
                <w:sz w:val="24"/>
                <w:szCs w:val="24"/>
              </w:rPr>
              <w:t xml:space="preserve">Φυσικά πρόσωπα που επηρεάστηκαν από τον </w:t>
            </w:r>
            <w:r w:rsidRPr="00840C45">
              <w:rPr>
                <w:rFonts w:eastAsiaTheme="minorEastAsia" w:cs="Calibri"/>
                <w:i/>
                <w:color w:val="6691AB"/>
                <w:spacing w:val="-4"/>
                <w:sz w:val="24"/>
                <w:szCs w:val="24"/>
                <w:lang w:val="en-US"/>
              </w:rPr>
              <w:t>C</w:t>
            </w:r>
            <w:r w:rsidR="00177722">
              <w:rPr>
                <w:rFonts w:eastAsiaTheme="minorEastAsia" w:cs="Calibri"/>
                <w:i/>
                <w:color w:val="6691AB"/>
                <w:spacing w:val="-4"/>
                <w:sz w:val="24"/>
                <w:szCs w:val="24"/>
                <w:lang w:val="en-US"/>
              </w:rPr>
              <w:t>OVID</w:t>
            </w:r>
            <w:r w:rsidR="00177722" w:rsidRPr="00177722">
              <w:rPr>
                <w:rFonts w:eastAsiaTheme="minorEastAsia" w:cs="Calibri"/>
                <w:i/>
                <w:color w:val="6691AB"/>
                <w:spacing w:val="-4"/>
                <w:sz w:val="24"/>
                <w:szCs w:val="24"/>
              </w:rPr>
              <w:t>-19</w:t>
            </w:r>
          </w:p>
        </w:tc>
        <w:tc>
          <w:tcPr>
            <w:tcW w:w="6946" w:type="dxa"/>
            <w:tcMar>
              <w:top w:w="57" w:type="dxa"/>
              <w:bottom w:w="57" w:type="dxa"/>
            </w:tcMar>
          </w:tcPr>
          <w:p w:rsidR="00231D45" w:rsidRPr="00231D45" w:rsidRDefault="00231D45" w:rsidP="009C4168">
            <w:pPr>
              <w:pStyle w:val="BodyText"/>
              <w:spacing w:before="120" w:line="240" w:lineRule="auto"/>
              <w:rPr>
                <w:rFonts w:cs="Calibri"/>
                <w:bCs/>
                <w:color w:val="000000" w:themeColor="text1"/>
                <w:sz w:val="18"/>
                <w:szCs w:val="18"/>
                <w:lang w:val="el-GR"/>
              </w:rPr>
            </w:pPr>
            <w:r w:rsidRPr="00231D45">
              <w:rPr>
                <w:rFonts w:cs="Calibri"/>
                <w:bCs/>
                <w:color w:val="000000" w:themeColor="text1"/>
                <w:sz w:val="18"/>
                <w:szCs w:val="18"/>
                <w:lang w:val="el-GR"/>
              </w:rPr>
              <w:lastRenderedPageBreak/>
              <w:t xml:space="preserve">Προς αυτή την κατεύθυνση και με σκοπό τη στήριξη των πελατών της, η Τράπεζα Πειραιώς συμμετέχει ενεργά τόσο στην </w:t>
            </w:r>
            <w:proofErr w:type="spellStart"/>
            <w:r w:rsidR="00DD53B9">
              <w:rPr>
                <w:rFonts w:cs="Calibri"/>
                <w:bCs/>
                <w:color w:val="000000" w:themeColor="text1"/>
                <w:sz w:val="18"/>
                <w:szCs w:val="18"/>
                <w:lang w:val="el-GR"/>
              </w:rPr>
              <w:t>υλοποίοηση</w:t>
            </w:r>
            <w:proofErr w:type="spellEnd"/>
            <w:r w:rsidRPr="00231D45">
              <w:rPr>
                <w:rFonts w:cs="Calibri"/>
                <w:bCs/>
                <w:color w:val="000000" w:themeColor="text1"/>
                <w:sz w:val="18"/>
                <w:szCs w:val="18"/>
                <w:lang w:val="el-GR"/>
              </w:rPr>
              <w:t xml:space="preserve"> των χρηματοδοτικών προγραμμάτων του Ελληνικού Δημοσίου </w:t>
            </w:r>
            <w:r w:rsidR="00DD53B9">
              <w:rPr>
                <w:rFonts w:cs="Calibri"/>
                <w:bCs/>
                <w:color w:val="000000" w:themeColor="text1"/>
                <w:sz w:val="18"/>
                <w:szCs w:val="18"/>
                <w:lang w:val="el-GR"/>
              </w:rPr>
              <w:t xml:space="preserve">τόσο </w:t>
            </w:r>
            <w:r w:rsidR="003E523B">
              <w:rPr>
                <w:rFonts w:cs="Calibri"/>
                <w:bCs/>
                <w:color w:val="000000" w:themeColor="text1"/>
                <w:sz w:val="18"/>
                <w:szCs w:val="18"/>
                <w:lang w:val="el-GR"/>
              </w:rPr>
              <w:t xml:space="preserve">μέσω </w:t>
            </w:r>
            <w:r w:rsidRPr="00231D45">
              <w:rPr>
                <w:rFonts w:cs="Calibri"/>
                <w:bCs/>
                <w:color w:val="000000" w:themeColor="text1"/>
                <w:sz w:val="18"/>
                <w:szCs w:val="18"/>
                <w:lang w:val="el-GR"/>
              </w:rPr>
              <w:t>τη</w:t>
            </w:r>
            <w:r w:rsidR="003E523B">
              <w:rPr>
                <w:rFonts w:cs="Calibri"/>
                <w:bCs/>
                <w:color w:val="000000" w:themeColor="text1"/>
                <w:sz w:val="18"/>
                <w:szCs w:val="18"/>
                <w:lang w:val="el-GR"/>
              </w:rPr>
              <w:t>ς</w:t>
            </w:r>
            <w:r w:rsidRPr="00231D45">
              <w:rPr>
                <w:rFonts w:cs="Calibri"/>
                <w:bCs/>
                <w:color w:val="000000" w:themeColor="text1"/>
                <w:sz w:val="18"/>
                <w:szCs w:val="18"/>
                <w:lang w:val="el-GR"/>
              </w:rPr>
              <w:t xml:space="preserve"> παροχή</w:t>
            </w:r>
            <w:r w:rsidR="003E523B">
              <w:rPr>
                <w:rFonts w:cs="Calibri"/>
                <w:bCs/>
                <w:color w:val="000000" w:themeColor="text1"/>
                <w:sz w:val="18"/>
                <w:szCs w:val="18"/>
                <w:lang w:val="el-GR"/>
              </w:rPr>
              <w:t>ς</w:t>
            </w:r>
            <w:r w:rsidRPr="00231D45">
              <w:rPr>
                <w:rFonts w:cs="Calibri"/>
                <w:bCs/>
                <w:color w:val="000000" w:themeColor="text1"/>
                <w:sz w:val="18"/>
                <w:szCs w:val="18"/>
                <w:lang w:val="el-GR"/>
              </w:rPr>
              <w:t xml:space="preserve"> εγγύηση</w:t>
            </w:r>
            <w:r w:rsidR="003E523B">
              <w:rPr>
                <w:rFonts w:cs="Calibri"/>
                <w:bCs/>
                <w:color w:val="000000" w:themeColor="text1"/>
                <w:sz w:val="18"/>
                <w:szCs w:val="18"/>
                <w:lang w:val="el-GR"/>
              </w:rPr>
              <w:t>ς</w:t>
            </w:r>
            <w:r w:rsidRPr="00231D45">
              <w:rPr>
                <w:rFonts w:cs="Calibri"/>
                <w:bCs/>
                <w:color w:val="000000" w:themeColor="text1"/>
                <w:sz w:val="18"/>
                <w:szCs w:val="18"/>
                <w:lang w:val="el-GR"/>
              </w:rPr>
              <w:t xml:space="preserve"> και επιδ</w:t>
            </w:r>
            <w:r w:rsidR="003E523B">
              <w:rPr>
                <w:rFonts w:cs="Calibri"/>
                <w:bCs/>
                <w:color w:val="000000" w:themeColor="text1"/>
                <w:sz w:val="18"/>
                <w:szCs w:val="18"/>
                <w:lang w:val="el-GR"/>
              </w:rPr>
              <w:t xml:space="preserve">οτήσεων </w:t>
            </w:r>
            <w:r w:rsidRPr="00231D45">
              <w:rPr>
                <w:rFonts w:cs="Calibri"/>
                <w:bCs/>
                <w:color w:val="000000" w:themeColor="text1"/>
                <w:sz w:val="18"/>
                <w:szCs w:val="18"/>
                <w:lang w:val="el-GR"/>
              </w:rPr>
              <w:t>επιτοκίου, όσο και στην υλοποίηση των συμφωνηθεισών αναστολών καταβολών δόσεων κεφαλαίου.</w:t>
            </w:r>
          </w:p>
          <w:p w:rsidR="009A2546" w:rsidRDefault="004C1E77" w:rsidP="009C4168">
            <w:pPr>
              <w:pStyle w:val="BodyText"/>
              <w:pBdr>
                <w:top w:val="nil"/>
                <w:left w:val="nil"/>
                <w:bottom w:val="nil"/>
                <w:right w:val="nil"/>
                <w:between w:val="nil"/>
                <w:bar w:val="nil"/>
              </w:pBdr>
              <w:spacing w:before="120" w:line="240" w:lineRule="auto"/>
              <w:rPr>
                <w:rFonts w:eastAsiaTheme="minorHAnsi" w:cs="Calibri"/>
                <w:color w:val="auto"/>
                <w:sz w:val="18"/>
                <w:szCs w:val="18"/>
                <w:lang w:val="el-GR"/>
              </w:rPr>
            </w:pPr>
            <w:r>
              <w:rPr>
                <w:rFonts w:eastAsiaTheme="minorHAnsi" w:cs="Calibri"/>
                <w:bCs/>
                <w:color w:val="auto"/>
                <w:sz w:val="18"/>
                <w:szCs w:val="18"/>
                <w:lang w:val="el-GR"/>
              </w:rPr>
              <w:t xml:space="preserve">Ειδικότερα, </w:t>
            </w:r>
            <w:r w:rsidR="00231D45" w:rsidRPr="00231D45">
              <w:rPr>
                <w:rFonts w:eastAsiaTheme="minorHAnsi" w:cs="Calibri"/>
                <w:bCs/>
                <w:color w:val="auto"/>
                <w:sz w:val="18"/>
                <w:szCs w:val="18"/>
                <w:lang w:val="el-GR"/>
              </w:rPr>
              <w:t xml:space="preserve">για την περίοδο από την έναρξη των προγραμμάτων έως </w:t>
            </w:r>
            <w:r>
              <w:rPr>
                <w:rFonts w:eastAsiaTheme="minorHAnsi" w:cs="Calibri"/>
                <w:bCs/>
                <w:color w:val="auto"/>
                <w:sz w:val="18"/>
                <w:szCs w:val="18"/>
                <w:lang w:val="el-GR"/>
              </w:rPr>
              <w:t xml:space="preserve">το τέλος </w:t>
            </w:r>
            <w:r w:rsidR="00231D45">
              <w:rPr>
                <w:rFonts w:eastAsiaTheme="minorHAnsi" w:cs="Calibri"/>
                <w:bCs/>
                <w:color w:val="auto"/>
                <w:sz w:val="18"/>
                <w:szCs w:val="18"/>
                <w:lang w:val="el-GR"/>
              </w:rPr>
              <w:t>Μα</w:t>
            </w:r>
            <w:r w:rsidR="003E523B">
              <w:rPr>
                <w:rFonts w:eastAsiaTheme="minorHAnsi" w:cs="Calibri"/>
                <w:bCs/>
                <w:color w:val="auto"/>
                <w:sz w:val="18"/>
                <w:szCs w:val="18"/>
                <w:lang w:val="el-GR"/>
              </w:rPr>
              <w:t>ΐ</w:t>
            </w:r>
            <w:r w:rsidR="00231D45">
              <w:rPr>
                <w:rFonts w:eastAsiaTheme="minorHAnsi" w:cs="Calibri"/>
                <w:bCs/>
                <w:color w:val="auto"/>
                <w:sz w:val="18"/>
                <w:szCs w:val="18"/>
                <w:lang w:val="el-GR"/>
              </w:rPr>
              <w:t>ου</w:t>
            </w:r>
            <w:r>
              <w:rPr>
                <w:rFonts w:eastAsiaTheme="minorHAnsi" w:cs="Calibri"/>
                <w:bCs/>
                <w:color w:val="auto"/>
                <w:sz w:val="18"/>
                <w:szCs w:val="18"/>
                <w:lang w:val="el-GR"/>
              </w:rPr>
              <w:t xml:space="preserve"> 2020</w:t>
            </w:r>
            <w:r w:rsidR="00FA1352" w:rsidRPr="00231D45">
              <w:rPr>
                <w:rFonts w:eastAsiaTheme="minorHAnsi" w:cs="Calibri"/>
                <w:color w:val="auto"/>
                <w:sz w:val="18"/>
                <w:szCs w:val="18"/>
                <w:lang w:val="el-GR"/>
              </w:rPr>
              <w:t>,</w:t>
            </w:r>
            <w:r w:rsidR="00231D45" w:rsidRPr="00231D45">
              <w:rPr>
                <w:rFonts w:eastAsiaTheme="minorHAnsi" w:cs="Calibri"/>
                <w:color w:val="auto"/>
                <w:sz w:val="18"/>
                <w:szCs w:val="18"/>
                <w:lang w:val="el-GR"/>
              </w:rPr>
              <w:t xml:space="preserve"> </w:t>
            </w:r>
            <w:r w:rsidR="00231D45" w:rsidRPr="00231D45">
              <w:rPr>
                <w:rFonts w:eastAsiaTheme="minorHAnsi" w:cs="Calibri"/>
                <w:bCs/>
                <w:color w:val="auto"/>
                <w:sz w:val="18"/>
                <w:szCs w:val="18"/>
                <w:lang w:val="el-GR"/>
              </w:rPr>
              <w:t xml:space="preserve">η Τράπεζα Πειραιώς έχει ήδη επικοινωνήσει με το 100% των </w:t>
            </w:r>
            <w:r>
              <w:rPr>
                <w:rFonts w:eastAsiaTheme="minorHAnsi" w:cs="Calibri"/>
                <w:bCs/>
                <w:color w:val="auto"/>
                <w:sz w:val="18"/>
                <w:szCs w:val="18"/>
                <w:lang w:val="el-GR"/>
              </w:rPr>
              <w:t>π</w:t>
            </w:r>
            <w:r w:rsidR="00231D45" w:rsidRPr="00231D45">
              <w:rPr>
                <w:rFonts w:eastAsiaTheme="minorHAnsi" w:cs="Calibri"/>
                <w:bCs/>
                <w:color w:val="auto"/>
                <w:sz w:val="18"/>
                <w:szCs w:val="18"/>
                <w:lang w:val="el-GR"/>
              </w:rPr>
              <w:t>ελατών</w:t>
            </w:r>
            <w:r>
              <w:rPr>
                <w:rFonts w:eastAsiaTheme="minorHAnsi" w:cs="Calibri"/>
                <w:bCs/>
                <w:color w:val="auto"/>
                <w:sz w:val="18"/>
                <w:szCs w:val="18"/>
                <w:lang w:val="el-GR"/>
              </w:rPr>
              <w:t xml:space="preserve"> μεγάλων επιχειρήσεων και των μικρομεσαίων </w:t>
            </w:r>
            <w:r w:rsidR="00AA1650">
              <w:rPr>
                <w:rFonts w:eastAsiaTheme="minorHAnsi" w:cs="Calibri"/>
                <w:bCs/>
                <w:color w:val="auto"/>
                <w:sz w:val="18"/>
                <w:szCs w:val="18"/>
                <w:lang w:val="el-GR"/>
              </w:rPr>
              <w:t xml:space="preserve">πελατών </w:t>
            </w:r>
            <w:r w:rsidR="00231D45" w:rsidRPr="00231D45">
              <w:rPr>
                <w:rFonts w:eastAsiaTheme="minorHAnsi" w:cs="Calibri"/>
                <w:bCs/>
                <w:color w:val="auto"/>
                <w:sz w:val="18"/>
                <w:szCs w:val="18"/>
                <w:lang w:val="el-GR"/>
              </w:rPr>
              <w:t xml:space="preserve">της και έχει </w:t>
            </w:r>
            <w:r w:rsidR="00AA1650">
              <w:rPr>
                <w:rFonts w:eastAsiaTheme="minorHAnsi" w:cs="Calibri"/>
                <w:bCs/>
                <w:color w:val="auto"/>
                <w:sz w:val="18"/>
                <w:szCs w:val="18"/>
                <w:lang w:val="el-GR"/>
              </w:rPr>
              <w:t xml:space="preserve">εγκρίνει </w:t>
            </w:r>
            <w:r w:rsidR="00231D45" w:rsidRPr="00231D45">
              <w:rPr>
                <w:rFonts w:eastAsiaTheme="minorHAnsi" w:cs="Calibri"/>
                <w:bCs/>
                <w:color w:val="auto"/>
                <w:sz w:val="18"/>
                <w:szCs w:val="18"/>
                <w:lang w:val="el-GR"/>
              </w:rPr>
              <w:t>α</w:t>
            </w:r>
            <w:r w:rsidR="00231D45">
              <w:rPr>
                <w:rFonts w:eastAsiaTheme="minorHAnsi" w:cs="Calibri"/>
                <w:bCs/>
                <w:color w:val="auto"/>
                <w:sz w:val="18"/>
                <w:szCs w:val="18"/>
                <w:lang w:val="el-GR"/>
              </w:rPr>
              <w:t xml:space="preserve">ιτήματα για αναστολή </w:t>
            </w:r>
            <w:r w:rsidR="001458E9">
              <w:rPr>
                <w:rFonts w:eastAsiaTheme="minorHAnsi" w:cs="Calibri"/>
                <w:bCs/>
                <w:color w:val="auto"/>
                <w:sz w:val="18"/>
                <w:szCs w:val="18"/>
                <w:lang w:val="el-GR"/>
              </w:rPr>
              <w:t xml:space="preserve">καταβολής δόσεων κεφαλαίων συνολικού </w:t>
            </w:r>
            <w:r w:rsidR="009A2546">
              <w:rPr>
                <w:rFonts w:eastAsiaTheme="minorHAnsi" w:cs="Calibri"/>
                <w:bCs/>
                <w:color w:val="auto"/>
                <w:sz w:val="18"/>
                <w:szCs w:val="18"/>
                <w:lang w:val="el-GR"/>
              </w:rPr>
              <w:t xml:space="preserve">ύψους </w:t>
            </w:r>
            <w:r w:rsidR="00231D45">
              <w:rPr>
                <w:rFonts w:eastAsiaTheme="minorHAnsi" w:cs="Calibri"/>
                <w:color w:val="auto"/>
                <w:sz w:val="18"/>
                <w:szCs w:val="18"/>
                <w:lang w:val="el-GR"/>
              </w:rPr>
              <w:t>€</w:t>
            </w:r>
            <w:r w:rsidR="00AA1650">
              <w:rPr>
                <w:rFonts w:eastAsiaTheme="minorHAnsi" w:cs="Calibri"/>
                <w:color w:val="auto"/>
                <w:sz w:val="18"/>
                <w:szCs w:val="18"/>
                <w:lang w:val="el-GR"/>
              </w:rPr>
              <w:t>2</w:t>
            </w:r>
            <w:r w:rsidR="00231D45">
              <w:rPr>
                <w:rFonts w:eastAsiaTheme="minorHAnsi" w:cs="Calibri"/>
                <w:color w:val="auto"/>
                <w:sz w:val="18"/>
                <w:szCs w:val="18"/>
                <w:lang w:val="el-GR"/>
              </w:rPr>
              <w:t>,</w:t>
            </w:r>
            <w:r w:rsidR="00AA1650">
              <w:rPr>
                <w:rFonts w:eastAsiaTheme="minorHAnsi" w:cs="Calibri"/>
                <w:color w:val="auto"/>
                <w:sz w:val="18"/>
                <w:szCs w:val="18"/>
                <w:lang w:val="el-GR"/>
              </w:rPr>
              <w:t>2</w:t>
            </w:r>
            <w:r w:rsidR="00231D45" w:rsidRPr="00231D45">
              <w:rPr>
                <w:rFonts w:eastAsiaTheme="minorHAnsi" w:cs="Calibri"/>
                <w:color w:val="auto"/>
                <w:sz w:val="18"/>
                <w:szCs w:val="18"/>
                <w:lang w:val="el-GR"/>
              </w:rPr>
              <w:t>δισ</w:t>
            </w:r>
            <w:r w:rsidR="00FA1352" w:rsidRPr="00231D45">
              <w:rPr>
                <w:rFonts w:eastAsiaTheme="minorHAnsi" w:cs="Calibri"/>
                <w:color w:val="auto"/>
                <w:sz w:val="18"/>
                <w:szCs w:val="18"/>
                <w:lang w:val="el-GR"/>
              </w:rPr>
              <w:t>.</w:t>
            </w:r>
            <w:r w:rsidR="009A2546">
              <w:rPr>
                <w:rFonts w:eastAsiaTheme="minorHAnsi" w:cs="Calibri"/>
                <w:color w:val="auto"/>
                <w:sz w:val="18"/>
                <w:szCs w:val="18"/>
                <w:lang w:val="el-GR"/>
              </w:rPr>
              <w:t xml:space="preserve"> </w:t>
            </w:r>
            <w:r w:rsidR="001458E9">
              <w:rPr>
                <w:rFonts w:eastAsiaTheme="minorHAnsi" w:cs="Calibri"/>
                <w:color w:val="auto"/>
                <w:sz w:val="18"/>
                <w:szCs w:val="18"/>
                <w:lang w:val="el-GR"/>
              </w:rPr>
              <w:t xml:space="preserve">δανειακών υποχρεώσεων </w:t>
            </w:r>
            <w:r w:rsidR="009A2546">
              <w:rPr>
                <w:rFonts w:eastAsiaTheme="minorHAnsi" w:cs="Calibri"/>
                <w:color w:val="auto"/>
                <w:sz w:val="18"/>
                <w:szCs w:val="18"/>
                <w:lang w:val="el-GR"/>
              </w:rPr>
              <w:t xml:space="preserve">επιχειρηματικών πελατών. </w:t>
            </w:r>
            <w:r w:rsidR="00FA1352" w:rsidRPr="00231D45">
              <w:rPr>
                <w:rFonts w:eastAsiaTheme="minorHAnsi" w:cs="Calibri"/>
                <w:color w:val="auto"/>
                <w:sz w:val="18"/>
                <w:szCs w:val="18"/>
                <w:lang w:val="el-GR"/>
              </w:rPr>
              <w:t xml:space="preserve"> </w:t>
            </w:r>
          </w:p>
          <w:p w:rsidR="00567E8C" w:rsidRDefault="00567E8C" w:rsidP="009C4168">
            <w:pPr>
              <w:pStyle w:val="BodyText"/>
              <w:pBdr>
                <w:top w:val="nil"/>
                <w:left w:val="nil"/>
                <w:bottom w:val="nil"/>
                <w:right w:val="nil"/>
                <w:between w:val="nil"/>
                <w:bar w:val="nil"/>
              </w:pBdr>
              <w:spacing w:before="120" w:line="240" w:lineRule="auto"/>
              <w:rPr>
                <w:rFonts w:eastAsiaTheme="minorHAnsi" w:cs="Calibri"/>
                <w:color w:val="auto"/>
                <w:sz w:val="18"/>
                <w:szCs w:val="18"/>
                <w:lang w:val="el-GR"/>
              </w:rPr>
            </w:pPr>
          </w:p>
          <w:p w:rsidR="00231D45" w:rsidRPr="00231D45" w:rsidRDefault="00231D45" w:rsidP="009C4168">
            <w:pPr>
              <w:pStyle w:val="BodyText"/>
              <w:pBdr>
                <w:top w:val="nil"/>
                <w:left w:val="nil"/>
                <w:bottom w:val="nil"/>
                <w:right w:val="nil"/>
                <w:between w:val="nil"/>
                <w:bar w:val="nil"/>
              </w:pBdr>
              <w:spacing w:before="120" w:line="240" w:lineRule="auto"/>
              <w:rPr>
                <w:rFonts w:eastAsiaTheme="minorHAnsi" w:cs="Calibri"/>
                <w:color w:val="000000" w:themeColor="text1"/>
                <w:sz w:val="18"/>
                <w:szCs w:val="18"/>
                <w:lang w:val="el-GR"/>
              </w:rPr>
            </w:pPr>
            <w:r w:rsidRPr="00231D45">
              <w:rPr>
                <w:rFonts w:cs="Calibri"/>
                <w:bCs/>
                <w:color w:val="000000" w:themeColor="text1"/>
                <w:sz w:val="18"/>
                <w:szCs w:val="18"/>
                <w:lang w:val="el-GR"/>
              </w:rPr>
              <w:t xml:space="preserve">Επιπρόσθετα, στο πλαίσιο του νέου </w:t>
            </w:r>
            <w:proofErr w:type="spellStart"/>
            <w:r w:rsidRPr="00231D45">
              <w:rPr>
                <w:rFonts w:cs="Calibri"/>
                <w:bCs/>
                <w:color w:val="000000" w:themeColor="text1"/>
                <w:sz w:val="18"/>
                <w:szCs w:val="18"/>
                <w:lang w:val="el-GR"/>
              </w:rPr>
              <w:t>υπο</w:t>
            </w:r>
            <w:proofErr w:type="spellEnd"/>
            <w:r w:rsidR="00FD4C74">
              <w:rPr>
                <w:rFonts w:cs="Calibri"/>
                <w:bCs/>
                <w:color w:val="000000" w:themeColor="text1"/>
                <w:sz w:val="18"/>
                <w:szCs w:val="18"/>
                <w:lang w:val="el-GR"/>
              </w:rPr>
              <w:t>-</w:t>
            </w:r>
            <w:r w:rsidRPr="00231D45">
              <w:rPr>
                <w:rFonts w:cs="Calibri"/>
                <w:bCs/>
                <w:color w:val="000000" w:themeColor="text1"/>
                <w:sz w:val="18"/>
                <w:szCs w:val="18"/>
                <w:lang w:val="el-GR"/>
              </w:rPr>
              <w:t>προγράμματος της Ελληνικής Αναπτυξιακής Τράπεζας «ΤΕΠΙΧ ΙΙ</w:t>
            </w:r>
            <w:r w:rsidR="00933EC5">
              <w:rPr>
                <w:rFonts w:cs="Calibri"/>
                <w:bCs/>
                <w:color w:val="000000" w:themeColor="text1"/>
                <w:sz w:val="18"/>
                <w:szCs w:val="18"/>
                <w:lang w:val="el-GR"/>
              </w:rPr>
              <w:t xml:space="preserve"> </w:t>
            </w:r>
            <w:r w:rsidRPr="00231D45">
              <w:rPr>
                <w:rFonts w:cs="Calibri"/>
                <w:bCs/>
                <w:color w:val="000000" w:themeColor="text1"/>
                <w:sz w:val="18"/>
                <w:szCs w:val="18"/>
                <w:lang w:val="el-GR"/>
              </w:rPr>
              <w:t xml:space="preserve">- Επιχειρηματική Χρηματοδότηση» με τίτλο Κεφάλαιο Κίνησης με επιδότηση επιτοκίου που απευθύνεται σε πληγείσες μεσαίες και μικρές επιχειρήσεις, η Τράπεζα Πειραιώς έχει δεχθεί το </w:t>
            </w:r>
            <w:r w:rsidR="00933EC5">
              <w:rPr>
                <w:rFonts w:cs="Calibri"/>
                <w:bCs/>
                <w:color w:val="000000" w:themeColor="text1"/>
                <w:sz w:val="18"/>
                <w:szCs w:val="18"/>
                <w:lang w:val="el-GR"/>
              </w:rPr>
              <w:t>37</w:t>
            </w:r>
            <w:r w:rsidRPr="00231D45">
              <w:rPr>
                <w:rFonts w:cs="Calibri"/>
                <w:bCs/>
                <w:color w:val="000000" w:themeColor="text1"/>
                <w:sz w:val="18"/>
                <w:szCs w:val="18"/>
                <w:lang w:val="el-GR"/>
              </w:rPr>
              <w:t xml:space="preserve">% των συνολικών αιτήσεων. Επίσης, στο πρόγραμμα του Υπουργείου Ανάπτυξης για επιδότηση επιτοκίου σε υφιστάμενες χρηματοδοτήσεις προς </w:t>
            </w:r>
            <w:r w:rsidRPr="00231D45">
              <w:rPr>
                <w:rFonts w:cs="Calibri"/>
                <w:bCs/>
                <w:color w:val="000000" w:themeColor="text1"/>
                <w:sz w:val="18"/>
                <w:szCs w:val="18"/>
                <w:lang w:val="el-GR"/>
              </w:rPr>
              <w:lastRenderedPageBreak/>
              <w:t>πληγείσες μεσαίες και μικρές επιχειρήσεις από τα μέτρα αντιμετώπισης της πανδημίας, η Τράπεζα συμβάλλει με</w:t>
            </w:r>
            <w:r w:rsidR="00933EC5">
              <w:rPr>
                <w:rFonts w:cs="Calibri"/>
                <w:bCs/>
                <w:color w:val="000000" w:themeColor="text1"/>
                <w:sz w:val="18"/>
                <w:szCs w:val="18"/>
                <w:lang w:val="el-GR"/>
              </w:rPr>
              <w:t xml:space="preserve"> μερίδιο αγοράς 52% επί των συνολικών αιτήσεων που έχουν υποβληθεί έως σήμερα. </w:t>
            </w:r>
          </w:p>
          <w:p w:rsidR="0028538D" w:rsidRDefault="00231D45" w:rsidP="009C4168">
            <w:pPr>
              <w:pStyle w:val="BodyText"/>
              <w:pBdr>
                <w:top w:val="nil"/>
                <w:left w:val="nil"/>
                <w:bottom w:val="nil"/>
                <w:right w:val="nil"/>
                <w:between w:val="nil"/>
                <w:bar w:val="nil"/>
              </w:pBdr>
              <w:spacing w:before="120" w:line="240" w:lineRule="auto"/>
              <w:rPr>
                <w:rFonts w:eastAsiaTheme="minorHAnsi" w:cs="Calibri"/>
                <w:bCs/>
                <w:color w:val="auto"/>
                <w:sz w:val="18"/>
                <w:szCs w:val="18"/>
                <w:lang w:val="el-GR"/>
              </w:rPr>
            </w:pPr>
            <w:r w:rsidRPr="00231D45">
              <w:rPr>
                <w:rFonts w:eastAsiaTheme="minorHAnsi" w:cs="Calibri"/>
                <w:bCs/>
                <w:color w:val="auto"/>
                <w:sz w:val="18"/>
                <w:szCs w:val="18"/>
                <w:lang w:val="el-GR"/>
              </w:rPr>
              <w:t>Παράλληλα, προτεραιότητα δίδεται από την Τράπεζα Πειραιώς </w:t>
            </w:r>
            <w:r w:rsidR="00FD4C74">
              <w:rPr>
                <w:rFonts w:eastAsiaTheme="minorHAnsi" w:cs="Calibri"/>
                <w:bCs/>
                <w:color w:val="auto"/>
                <w:sz w:val="18"/>
                <w:szCs w:val="18"/>
                <w:lang w:val="el-GR"/>
              </w:rPr>
              <w:t xml:space="preserve">σε φυσικά </w:t>
            </w:r>
            <w:r w:rsidR="008A1754">
              <w:rPr>
                <w:rFonts w:eastAsiaTheme="minorHAnsi" w:cs="Calibri"/>
                <w:bCs/>
                <w:color w:val="auto"/>
                <w:sz w:val="18"/>
                <w:szCs w:val="18"/>
                <w:lang w:val="el-GR"/>
              </w:rPr>
              <w:t>πρόσωπα (</w:t>
            </w:r>
            <w:r w:rsidRPr="00231D45">
              <w:rPr>
                <w:rFonts w:eastAsiaTheme="minorHAnsi" w:cs="Calibri"/>
                <w:bCs/>
                <w:color w:val="auto"/>
                <w:sz w:val="18"/>
                <w:szCs w:val="18"/>
                <w:lang w:val="el-GR"/>
              </w:rPr>
              <w:t xml:space="preserve">εργαζόμενους, </w:t>
            </w:r>
            <w:proofErr w:type="spellStart"/>
            <w:r w:rsidR="00863958">
              <w:rPr>
                <w:rFonts w:eastAsiaTheme="minorHAnsi" w:cs="Calibri"/>
                <w:bCs/>
                <w:color w:val="auto"/>
                <w:sz w:val="18"/>
                <w:szCs w:val="18"/>
                <w:lang w:val="el-GR"/>
              </w:rPr>
              <w:t>αυτοαπασχολήμενους</w:t>
            </w:r>
            <w:proofErr w:type="spellEnd"/>
            <w:r w:rsidR="00863958">
              <w:rPr>
                <w:rFonts w:eastAsiaTheme="minorHAnsi" w:cs="Calibri"/>
                <w:bCs/>
                <w:color w:val="auto"/>
                <w:sz w:val="18"/>
                <w:szCs w:val="18"/>
                <w:lang w:val="el-GR"/>
              </w:rPr>
              <w:t xml:space="preserve"> </w:t>
            </w:r>
            <w:r w:rsidRPr="00231D45">
              <w:rPr>
                <w:rFonts w:eastAsiaTheme="minorHAnsi" w:cs="Calibri"/>
                <w:bCs/>
                <w:color w:val="auto"/>
                <w:sz w:val="18"/>
                <w:szCs w:val="18"/>
                <w:lang w:val="el-GR"/>
              </w:rPr>
              <w:t xml:space="preserve">ελεύθερους </w:t>
            </w:r>
            <w:r w:rsidR="008A1754">
              <w:rPr>
                <w:rFonts w:eastAsiaTheme="minorHAnsi" w:cs="Calibri"/>
                <w:bCs/>
                <w:color w:val="auto"/>
                <w:sz w:val="18"/>
                <w:szCs w:val="18"/>
                <w:lang w:val="el-GR"/>
              </w:rPr>
              <w:t>ε</w:t>
            </w:r>
            <w:r w:rsidRPr="00231D45">
              <w:rPr>
                <w:rFonts w:eastAsiaTheme="minorHAnsi" w:cs="Calibri"/>
                <w:bCs/>
                <w:color w:val="auto"/>
                <w:sz w:val="18"/>
                <w:szCs w:val="18"/>
                <w:lang w:val="el-GR"/>
              </w:rPr>
              <w:t xml:space="preserve">παγγελματίες και ατομικές επιχειρήσεις) που επλήγησαν άμεσα, λόγω </w:t>
            </w:r>
            <w:r w:rsidR="008A1754">
              <w:rPr>
                <w:rFonts w:eastAsiaTheme="minorHAnsi" w:cs="Calibri"/>
                <w:bCs/>
                <w:color w:val="auto"/>
                <w:sz w:val="18"/>
                <w:szCs w:val="18"/>
                <w:lang w:val="el-GR"/>
              </w:rPr>
              <w:t xml:space="preserve">της </w:t>
            </w:r>
            <w:r w:rsidRPr="00231D45">
              <w:rPr>
                <w:rFonts w:eastAsiaTheme="minorHAnsi" w:cs="Calibri"/>
                <w:bCs/>
                <w:color w:val="auto"/>
                <w:sz w:val="18"/>
                <w:szCs w:val="18"/>
                <w:lang w:val="el-GR"/>
              </w:rPr>
              <w:t xml:space="preserve">αναστολής λειτουργίας </w:t>
            </w:r>
            <w:r w:rsidR="008A1754">
              <w:rPr>
                <w:rFonts w:eastAsiaTheme="minorHAnsi" w:cs="Calibri"/>
                <w:bCs/>
                <w:color w:val="auto"/>
                <w:sz w:val="18"/>
                <w:szCs w:val="18"/>
                <w:lang w:val="el-GR"/>
              </w:rPr>
              <w:t xml:space="preserve">των </w:t>
            </w:r>
            <w:r w:rsidRPr="00231D45">
              <w:rPr>
                <w:rFonts w:eastAsiaTheme="minorHAnsi" w:cs="Calibri"/>
                <w:bCs/>
                <w:color w:val="auto"/>
                <w:sz w:val="18"/>
                <w:szCs w:val="18"/>
                <w:lang w:val="el-GR"/>
              </w:rPr>
              <w:t>επιχειρήσεων. Για τη συγκεκριμένη ειδικά κατηγορία των άμεσα πληγέντων, η Τράπεζα</w:t>
            </w:r>
            <w:r w:rsidR="004E3258">
              <w:rPr>
                <w:rFonts w:eastAsiaTheme="minorHAnsi" w:cs="Calibri"/>
                <w:bCs/>
                <w:color w:val="auto"/>
                <w:sz w:val="18"/>
                <w:szCs w:val="18"/>
                <w:lang w:val="el-GR"/>
              </w:rPr>
              <w:t>,</w:t>
            </w:r>
            <w:r w:rsidRPr="00231D45">
              <w:rPr>
                <w:rFonts w:eastAsiaTheme="minorHAnsi" w:cs="Calibri"/>
                <w:bCs/>
                <w:color w:val="auto"/>
                <w:sz w:val="18"/>
                <w:szCs w:val="18"/>
                <w:lang w:val="el-GR"/>
              </w:rPr>
              <w:t xml:space="preserve"> κατόπιν επικοινωνίας </w:t>
            </w:r>
            <w:r w:rsidR="004E3258">
              <w:rPr>
                <w:rFonts w:eastAsiaTheme="minorHAnsi" w:cs="Calibri"/>
                <w:bCs/>
                <w:color w:val="auto"/>
                <w:sz w:val="18"/>
                <w:szCs w:val="18"/>
                <w:lang w:val="el-GR"/>
              </w:rPr>
              <w:t xml:space="preserve">μαζί </w:t>
            </w:r>
            <w:r w:rsidRPr="00231D45">
              <w:rPr>
                <w:rFonts w:eastAsiaTheme="minorHAnsi" w:cs="Calibri"/>
                <w:bCs/>
                <w:color w:val="auto"/>
                <w:sz w:val="18"/>
                <w:szCs w:val="18"/>
                <w:lang w:val="el-GR"/>
              </w:rPr>
              <w:t>τους,</w:t>
            </w:r>
            <w:r w:rsidRPr="00231D45">
              <w:rPr>
                <w:rFonts w:eastAsiaTheme="minorHAnsi" w:cs="Calibri"/>
                <w:bCs/>
                <w:color w:val="auto"/>
                <w:sz w:val="18"/>
                <w:szCs w:val="18"/>
              </w:rPr>
              <w:t> </w:t>
            </w:r>
            <w:r w:rsidRPr="00231D45">
              <w:rPr>
                <w:rFonts w:eastAsiaTheme="minorHAnsi" w:cs="Calibri"/>
                <w:bCs/>
                <w:color w:val="auto"/>
                <w:sz w:val="18"/>
                <w:szCs w:val="18"/>
                <w:lang w:val="el-GR"/>
              </w:rPr>
              <w:t xml:space="preserve">έχει προβεί σε αναστολή </w:t>
            </w:r>
            <w:r w:rsidR="004E3258">
              <w:rPr>
                <w:rFonts w:eastAsiaTheme="minorHAnsi" w:cs="Calibri"/>
                <w:bCs/>
                <w:color w:val="auto"/>
                <w:sz w:val="18"/>
                <w:szCs w:val="18"/>
                <w:lang w:val="el-GR"/>
              </w:rPr>
              <w:t xml:space="preserve">καταβολής </w:t>
            </w:r>
            <w:r w:rsidRPr="00231D45">
              <w:rPr>
                <w:rFonts w:eastAsiaTheme="minorHAnsi" w:cs="Calibri"/>
                <w:bCs/>
                <w:color w:val="auto"/>
                <w:sz w:val="18"/>
                <w:szCs w:val="18"/>
                <w:lang w:val="el-GR"/>
              </w:rPr>
              <w:t xml:space="preserve">των </w:t>
            </w:r>
            <w:proofErr w:type="spellStart"/>
            <w:r w:rsidRPr="00231D45">
              <w:rPr>
                <w:rFonts w:eastAsiaTheme="minorHAnsi" w:cs="Calibri"/>
                <w:bCs/>
                <w:color w:val="auto"/>
                <w:sz w:val="18"/>
                <w:szCs w:val="18"/>
                <w:lang w:val="el-GR"/>
              </w:rPr>
              <w:t>δόσε</w:t>
            </w:r>
            <w:r w:rsidR="004E3258">
              <w:rPr>
                <w:rFonts w:eastAsiaTheme="minorHAnsi" w:cs="Calibri"/>
                <w:bCs/>
                <w:color w:val="auto"/>
                <w:sz w:val="18"/>
                <w:szCs w:val="18"/>
                <w:lang w:val="el-GR"/>
              </w:rPr>
              <w:t>ώ</w:t>
            </w:r>
            <w:r w:rsidRPr="00231D45">
              <w:rPr>
                <w:rFonts w:eastAsiaTheme="minorHAnsi" w:cs="Calibri"/>
                <w:bCs/>
                <w:color w:val="auto"/>
                <w:sz w:val="18"/>
                <w:szCs w:val="18"/>
                <w:lang w:val="el-GR"/>
              </w:rPr>
              <w:t>ν</w:t>
            </w:r>
            <w:proofErr w:type="spellEnd"/>
            <w:r w:rsidRPr="00231D45">
              <w:rPr>
                <w:rFonts w:eastAsiaTheme="minorHAnsi" w:cs="Calibri"/>
                <w:bCs/>
                <w:color w:val="auto"/>
                <w:sz w:val="18"/>
                <w:szCs w:val="18"/>
                <w:lang w:val="el-GR"/>
              </w:rPr>
              <w:t xml:space="preserve"> τους για διάστημα τριών μηνών, που αντιστοιχεί σε περίπου €</w:t>
            </w:r>
            <w:r w:rsidR="00255132">
              <w:rPr>
                <w:rFonts w:eastAsiaTheme="minorHAnsi" w:cs="Calibri"/>
                <w:bCs/>
                <w:color w:val="auto"/>
                <w:sz w:val="18"/>
                <w:szCs w:val="18"/>
                <w:lang w:val="el-GR"/>
              </w:rPr>
              <w:t>1</w:t>
            </w:r>
            <w:r w:rsidRPr="00231D45">
              <w:rPr>
                <w:rFonts w:eastAsiaTheme="minorHAnsi" w:cs="Calibri"/>
                <w:bCs/>
                <w:color w:val="auto"/>
                <w:sz w:val="18"/>
                <w:szCs w:val="18"/>
                <w:lang w:val="el-GR"/>
              </w:rPr>
              <w:t>,</w:t>
            </w:r>
            <w:r w:rsidR="00255132">
              <w:rPr>
                <w:rFonts w:eastAsiaTheme="minorHAnsi" w:cs="Calibri"/>
                <w:bCs/>
                <w:color w:val="auto"/>
                <w:sz w:val="18"/>
                <w:szCs w:val="18"/>
                <w:lang w:val="el-GR"/>
              </w:rPr>
              <w:t>8</w:t>
            </w:r>
            <w:r w:rsidRPr="00231D45">
              <w:rPr>
                <w:rFonts w:eastAsiaTheme="minorHAnsi" w:cs="Calibri"/>
                <w:bCs/>
                <w:color w:val="auto"/>
                <w:sz w:val="18"/>
                <w:szCs w:val="18"/>
                <w:lang w:val="el-GR"/>
              </w:rPr>
              <w:t>δι</w:t>
            </w:r>
            <w:r w:rsidR="00255132">
              <w:rPr>
                <w:rFonts w:eastAsiaTheme="minorHAnsi" w:cs="Calibri"/>
                <w:bCs/>
                <w:color w:val="auto"/>
                <w:sz w:val="18"/>
                <w:szCs w:val="18"/>
                <w:lang w:val="el-GR"/>
              </w:rPr>
              <w:t>σ.</w:t>
            </w:r>
            <w:r w:rsidRPr="00231D45">
              <w:rPr>
                <w:rFonts w:eastAsiaTheme="minorHAnsi" w:cs="Calibri"/>
                <w:bCs/>
                <w:color w:val="auto"/>
                <w:sz w:val="18"/>
                <w:szCs w:val="18"/>
                <w:lang w:val="el-GR"/>
              </w:rPr>
              <w:t xml:space="preserve"> δανείων.</w:t>
            </w:r>
          </w:p>
          <w:p w:rsidR="00255132" w:rsidRDefault="00255132" w:rsidP="009C4168">
            <w:pPr>
              <w:pStyle w:val="BodyText"/>
              <w:pBdr>
                <w:top w:val="nil"/>
                <w:left w:val="nil"/>
                <w:bottom w:val="nil"/>
                <w:right w:val="nil"/>
                <w:between w:val="nil"/>
                <w:bar w:val="nil"/>
              </w:pBdr>
              <w:spacing w:before="120" w:line="240" w:lineRule="auto"/>
              <w:rPr>
                <w:rFonts w:eastAsiaTheme="minorHAnsi" w:cs="Calibri"/>
                <w:color w:val="auto"/>
                <w:sz w:val="18"/>
                <w:szCs w:val="18"/>
                <w:lang w:val="el-GR"/>
              </w:rPr>
            </w:pPr>
            <w:r>
              <w:rPr>
                <w:rFonts w:eastAsiaTheme="minorHAnsi" w:cs="Calibri"/>
                <w:bCs/>
                <w:color w:val="auto"/>
                <w:sz w:val="18"/>
                <w:szCs w:val="18"/>
                <w:lang w:val="el-GR"/>
              </w:rPr>
              <w:t xml:space="preserve">Ειδικότερα, </w:t>
            </w:r>
            <w:r w:rsidRPr="00231D45">
              <w:rPr>
                <w:rFonts w:eastAsiaTheme="minorHAnsi" w:cs="Calibri"/>
                <w:bCs/>
                <w:color w:val="auto"/>
                <w:sz w:val="18"/>
                <w:szCs w:val="18"/>
                <w:lang w:val="el-GR"/>
              </w:rPr>
              <w:t xml:space="preserve">για την περίοδο από την έναρξη των προγραμμάτων έως </w:t>
            </w:r>
            <w:r>
              <w:rPr>
                <w:rFonts w:eastAsiaTheme="minorHAnsi" w:cs="Calibri"/>
                <w:bCs/>
                <w:color w:val="auto"/>
                <w:sz w:val="18"/>
                <w:szCs w:val="18"/>
                <w:lang w:val="el-GR"/>
              </w:rPr>
              <w:t>τα μέσα Μαΐου 2020</w:t>
            </w:r>
            <w:r w:rsidRPr="00231D45">
              <w:rPr>
                <w:rFonts w:eastAsiaTheme="minorHAnsi" w:cs="Calibri"/>
                <w:color w:val="auto"/>
                <w:sz w:val="18"/>
                <w:szCs w:val="18"/>
                <w:lang w:val="el-GR"/>
              </w:rPr>
              <w:t xml:space="preserve">, </w:t>
            </w:r>
            <w:r w:rsidRPr="00231D45">
              <w:rPr>
                <w:rFonts w:eastAsiaTheme="minorHAnsi" w:cs="Calibri"/>
                <w:bCs/>
                <w:color w:val="auto"/>
                <w:sz w:val="18"/>
                <w:szCs w:val="18"/>
                <w:lang w:val="el-GR"/>
              </w:rPr>
              <w:t xml:space="preserve">η Τράπεζα Πειραιώς έχει </w:t>
            </w:r>
            <w:r w:rsidR="00DA48D4">
              <w:rPr>
                <w:rFonts w:eastAsiaTheme="minorHAnsi" w:cs="Calibri"/>
                <w:bCs/>
                <w:color w:val="auto"/>
                <w:sz w:val="18"/>
                <w:szCs w:val="18"/>
                <w:lang w:val="el-GR"/>
              </w:rPr>
              <w:t>εγκρίνει</w:t>
            </w:r>
            <w:r>
              <w:rPr>
                <w:rFonts w:eastAsiaTheme="minorHAnsi" w:cs="Calibri"/>
                <w:bCs/>
                <w:color w:val="auto"/>
                <w:sz w:val="18"/>
                <w:szCs w:val="18"/>
                <w:lang w:val="el-GR"/>
              </w:rPr>
              <w:t xml:space="preserve"> αναστολή καταβολής </w:t>
            </w:r>
            <w:r w:rsidR="00DA48D4">
              <w:rPr>
                <w:rFonts w:eastAsiaTheme="minorHAnsi" w:cs="Calibri"/>
                <w:bCs/>
                <w:color w:val="auto"/>
                <w:sz w:val="18"/>
                <w:szCs w:val="18"/>
                <w:lang w:val="el-GR"/>
              </w:rPr>
              <w:t>δόσεων</w:t>
            </w:r>
            <w:r>
              <w:rPr>
                <w:rFonts w:eastAsiaTheme="minorHAnsi" w:cs="Calibri"/>
                <w:bCs/>
                <w:color w:val="auto"/>
                <w:sz w:val="18"/>
                <w:szCs w:val="18"/>
                <w:lang w:val="el-GR"/>
              </w:rPr>
              <w:t xml:space="preserve"> έως </w:t>
            </w:r>
            <w:r w:rsidR="00DA48D4">
              <w:rPr>
                <w:rFonts w:eastAsiaTheme="minorHAnsi" w:cs="Calibri"/>
                <w:color w:val="auto"/>
                <w:sz w:val="18"/>
                <w:szCs w:val="18"/>
                <w:lang w:val="el-GR"/>
              </w:rPr>
              <w:t>€1,8</w:t>
            </w:r>
            <w:r w:rsidRPr="00231D45">
              <w:rPr>
                <w:rFonts w:eastAsiaTheme="minorHAnsi" w:cs="Calibri"/>
                <w:color w:val="auto"/>
                <w:sz w:val="18"/>
                <w:szCs w:val="18"/>
                <w:lang w:val="el-GR"/>
              </w:rPr>
              <w:t>δισ.</w:t>
            </w:r>
            <w:r>
              <w:rPr>
                <w:rFonts w:eastAsiaTheme="minorHAnsi" w:cs="Calibri"/>
                <w:color w:val="auto"/>
                <w:sz w:val="18"/>
                <w:szCs w:val="18"/>
                <w:lang w:val="el-GR"/>
              </w:rPr>
              <w:t xml:space="preserve">.  </w:t>
            </w:r>
            <w:r w:rsidRPr="00231D45">
              <w:rPr>
                <w:rFonts w:eastAsiaTheme="minorHAnsi" w:cs="Calibri"/>
                <w:color w:val="auto"/>
                <w:sz w:val="18"/>
                <w:szCs w:val="18"/>
                <w:lang w:val="el-GR"/>
              </w:rPr>
              <w:t xml:space="preserve"> </w:t>
            </w:r>
          </w:p>
          <w:p w:rsidR="00255132" w:rsidRPr="00255132" w:rsidRDefault="00255132" w:rsidP="009C4168">
            <w:pPr>
              <w:pStyle w:val="BodyText"/>
              <w:pBdr>
                <w:top w:val="nil"/>
                <w:left w:val="nil"/>
                <w:bottom w:val="nil"/>
                <w:right w:val="nil"/>
                <w:between w:val="nil"/>
                <w:bar w:val="nil"/>
              </w:pBdr>
              <w:spacing w:before="120" w:line="240" w:lineRule="auto"/>
              <w:rPr>
                <w:rFonts w:eastAsiaTheme="minorHAnsi" w:cs="Calibri"/>
                <w:color w:val="auto"/>
                <w:sz w:val="8"/>
                <w:szCs w:val="18"/>
                <w:lang w:val="el-GR"/>
              </w:rPr>
            </w:pPr>
          </w:p>
        </w:tc>
      </w:tr>
      <w:tr w:rsidR="00FA1352" w:rsidRPr="00B64CF0" w:rsidTr="0028538D">
        <w:trPr>
          <w:trHeight w:val="996"/>
        </w:trPr>
        <w:tc>
          <w:tcPr>
            <w:tcW w:w="1701" w:type="dxa"/>
            <w:tcMar>
              <w:top w:w="57" w:type="dxa"/>
              <w:bottom w:w="57" w:type="dxa"/>
            </w:tcMar>
          </w:tcPr>
          <w:p w:rsidR="00FA1352" w:rsidRPr="00455473" w:rsidRDefault="00175A2E" w:rsidP="00DA48D4">
            <w:pPr>
              <w:tabs>
                <w:tab w:val="left" w:pos="8262"/>
              </w:tabs>
              <w:spacing w:after="60"/>
              <w:ind w:left="32" w:right="74"/>
              <w:contextualSpacing/>
              <w:rPr>
                <w:rFonts w:cs="Calibri"/>
                <w:i/>
                <w:noProof/>
                <w:color w:val="6691AB"/>
                <w:sz w:val="24"/>
                <w:szCs w:val="24"/>
                <w:lang w:val="en-US" w:eastAsia="el-GR"/>
              </w:rPr>
            </w:pPr>
            <w:r>
              <w:rPr>
                <w:rFonts w:cs="Calibri"/>
                <w:i/>
                <w:noProof/>
                <w:color w:val="6691AB"/>
                <w:sz w:val="24"/>
                <w:szCs w:val="24"/>
                <w:lang w:eastAsia="el-GR"/>
              </w:rPr>
              <w:lastRenderedPageBreak/>
              <w:t xml:space="preserve">Τεχνολογία </w:t>
            </w:r>
            <w:r w:rsidR="003E0F20" w:rsidRPr="003E0F20">
              <w:rPr>
                <w:rFonts w:cs="Calibri"/>
                <w:i/>
                <w:noProof/>
                <w:color w:val="6691AB"/>
                <w:sz w:val="24"/>
                <w:szCs w:val="24"/>
                <w:lang w:val="en-GB" w:eastAsia="el-GR"/>
              </w:rPr>
              <w:t>&amp;</w:t>
            </w:r>
            <w:r w:rsidR="00FA1352" w:rsidRPr="00455473">
              <w:rPr>
                <w:rFonts w:cs="Calibri"/>
                <w:i/>
                <w:noProof/>
                <w:color w:val="6691AB"/>
                <w:sz w:val="24"/>
                <w:szCs w:val="24"/>
                <w:lang w:val="en-US" w:eastAsia="el-GR"/>
              </w:rPr>
              <w:t xml:space="preserve"> </w:t>
            </w:r>
            <w:r w:rsidR="00DA48D4">
              <w:rPr>
                <w:rFonts w:cs="Calibri"/>
                <w:i/>
                <w:noProof/>
                <w:color w:val="6691AB"/>
                <w:sz w:val="24"/>
                <w:szCs w:val="24"/>
                <w:lang w:eastAsia="el-GR"/>
              </w:rPr>
              <w:t>ψ</w:t>
            </w:r>
            <w:r>
              <w:rPr>
                <w:rFonts w:cs="Calibri"/>
                <w:i/>
                <w:noProof/>
                <w:color w:val="6691AB"/>
                <w:sz w:val="24"/>
                <w:szCs w:val="24"/>
                <w:lang w:eastAsia="el-GR"/>
              </w:rPr>
              <w:t xml:space="preserve">ηφιακή </w:t>
            </w:r>
            <w:r w:rsidR="00DA48D4">
              <w:rPr>
                <w:rFonts w:cs="Calibri"/>
                <w:i/>
                <w:noProof/>
                <w:color w:val="6691AB"/>
                <w:sz w:val="24"/>
                <w:szCs w:val="24"/>
                <w:lang w:eastAsia="el-GR"/>
              </w:rPr>
              <w:t>τ</w:t>
            </w:r>
            <w:r>
              <w:rPr>
                <w:rFonts w:cs="Calibri"/>
                <w:i/>
                <w:noProof/>
                <w:color w:val="6691AB"/>
                <w:sz w:val="24"/>
                <w:szCs w:val="24"/>
                <w:lang w:eastAsia="el-GR"/>
              </w:rPr>
              <w:t>ραπεζική</w:t>
            </w:r>
            <w:r w:rsidR="00FA1352" w:rsidRPr="00455473">
              <w:rPr>
                <w:rFonts w:cs="Calibri"/>
                <w:i/>
                <w:noProof/>
                <w:color w:val="6691AB"/>
                <w:sz w:val="24"/>
                <w:szCs w:val="24"/>
                <w:lang w:val="en-US" w:eastAsia="el-GR"/>
              </w:rPr>
              <w:t xml:space="preserve"> </w:t>
            </w:r>
          </w:p>
        </w:tc>
        <w:tc>
          <w:tcPr>
            <w:tcW w:w="6946" w:type="dxa"/>
            <w:tcMar>
              <w:top w:w="57" w:type="dxa"/>
              <w:bottom w:w="57" w:type="dxa"/>
            </w:tcMar>
          </w:tcPr>
          <w:p w:rsidR="00F1226C" w:rsidRPr="00F1226C" w:rsidRDefault="00255132" w:rsidP="00255132">
            <w:pPr>
              <w:jc w:val="both"/>
              <w:rPr>
                <w:rFonts w:cs="Calibri"/>
                <w:sz w:val="18"/>
                <w:szCs w:val="18"/>
              </w:rPr>
            </w:pPr>
            <w:r>
              <w:rPr>
                <w:rFonts w:cs="Calibri"/>
                <w:sz w:val="18"/>
                <w:szCs w:val="18"/>
              </w:rPr>
              <w:t>Το</w:t>
            </w:r>
            <w:r w:rsidRPr="00255132">
              <w:rPr>
                <w:rFonts w:cs="Calibri"/>
                <w:sz w:val="18"/>
                <w:szCs w:val="18"/>
              </w:rPr>
              <w:t xml:space="preserve"> </w:t>
            </w:r>
            <w:r>
              <w:rPr>
                <w:rFonts w:cs="Calibri"/>
                <w:sz w:val="18"/>
                <w:szCs w:val="18"/>
                <w:lang w:val="en-US"/>
              </w:rPr>
              <w:t>l</w:t>
            </w:r>
            <w:r w:rsidR="00FA1352" w:rsidRPr="00BC7E0D">
              <w:rPr>
                <w:rFonts w:cs="Calibri"/>
                <w:sz w:val="18"/>
                <w:szCs w:val="18"/>
                <w:lang w:val="en-US"/>
              </w:rPr>
              <w:t>ockdown</w:t>
            </w:r>
            <w:r w:rsidR="00FA1352" w:rsidRPr="00255132">
              <w:rPr>
                <w:rFonts w:cs="Calibri"/>
                <w:sz w:val="18"/>
                <w:szCs w:val="18"/>
              </w:rPr>
              <w:t xml:space="preserve"> </w:t>
            </w:r>
            <w:r w:rsidRPr="00255132">
              <w:rPr>
                <w:rFonts w:cs="Calibri"/>
                <w:sz w:val="18"/>
                <w:szCs w:val="18"/>
              </w:rPr>
              <w:t>συνέβαλε καθοριστικά στην προώθηση της υιοθέτησης ψηφιακών καναλιών.</w:t>
            </w:r>
            <w:r w:rsidR="00FA1352" w:rsidRPr="00255132">
              <w:rPr>
                <w:rFonts w:cs="Calibri"/>
                <w:sz w:val="18"/>
                <w:szCs w:val="18"/>
              </w:rPr>
              <w:t xml:space="preserve"> </w:t>
            </w:r>
            <w:r w:rsidRPr="00255132">
              <w:rPr>
                <w:rFonts w:cs="Calibri"/>
                <w:sz w:val="18"/>
                <w:szCs w:val="18"/>
              </w:rPr>
              <w:t xml:space="preserve">Οι πελάτες </w:t>
            </w:r>
            <w:r>
              <w:rPr>
                <w:rFonts w:cs="Calibri"/>
                <w:sz w:val="18"/>
                <w:szCs w:val="18"/>
              </w:rPr>
              <w:t xml:space="preserve">στηρίζουν </w:t>
            </w:r>
            <w:r w:rsidRPr="00255132">
              <w:rPr>
                <w:rFonts w:cs="Calibri"/>
                <w:sz w:val="18"/>
                <w:szCs w:val="18"/>
              </w:rPr>
              <w:t xml:space="preserve">και επωφελούνται από λύσεις που παρέχονται από τις ψηφιακές και κινητές </w:t>
            </w:r>
            <w:r w:rsidR="00863958">
              <w:rPr>
                <w:rFonts w:cs="Calibri"/>
                <w:sz w:val="18"/>
                <w:szCs w:val="18"/>
              </w:rPr>
              <w:t>υπηρεσίες</w:t>
            </w:r>
            <w:r w:rsidRPr="00255132">
              <w:rPr>
                <w:rFonts w:cs="Calibri"/>
                <w:sz w:val="18"/>
                <w:szCs w:val="18"/>
              </w:rPr>
              <w:t xml:space="preserve"> της Τράπεζας. </w:t>
            </w:r>
            <w:r w:rsidR="00F1226C">
              <w:rPr>
                <w:rFonts w:cs="Calibri"/>
                <w:sz w:val="18"/>
                <w:szCs w:val="18"/>
              </w:rPr>
              <w:t xml:space="preserve">Κατά την περίοδο του </w:t>
            </w:r>
            <w:r w:rsidR="00F1226C">
              <w:rPr>
                <w:rFonts w:cs="Calibri"/>
                <w:sz w:val="18"/>
                <w:szCs w:val="18"/>
                <w:lang w:val="en-US"/>
              </w:rPr>
              <w:t>lockdown</w:t>
            </w:r>
            <w:r w:rsidR="00F1226C" w:rsidRPr="00F1226C">
              <w:rPr>
                <w:rFonts w:cs="Calibri"/>
                <w:sz w:val="18"/>
                <w:szCs w:val="18"/>
              </w:rPr>
              <w:t xml:space="preserve"> </w:t>
            </w:r>
            <w:r w:rsidR="00F1226C">
              <w:rPr>
                <w:rFonts w:cs="Calibri"/>
                <w:sz w:val="18"/>
                <w:szCs w:val="18"/>
              </w:rPr>
              <w:t xml:space="preserve">καταγράφηκε εντυπωσιακός αριθμός νέων εγγραφών, ενώ συνολική </w:t>
            </w:r>
            <w:r w:rsidR="00863958">
              <w:rPr>
                <w:rFonts w:cs="Calibri"/>
                <w:sz w:val="18"/>
                <w:szCs w:val="18"/>
              </w:rPr>
              <w:t xml:space="preserve">οι </w:t>
            </w:r>
            <w:r w:rsidR="00F1226C">
              <w:rPr>
                <w:rFonts w:cs="Calibri"/>
                <w:sz w:val="18"/>
                <w:szCs w:val="18"/>
              </w:rPr>
              <w:t>ψηφιακ</w:t>
            </w:r>
            <w:r w:rsidR="00863958">
              <w:rPr>
                <w:rFonts w:cs="Calibri"/>
                <w:sz w:val="18"/>
                <w:szCs w:val="18"/>
              </w:rPr>
              <w:t>ές</w:t>
            </w:r>
            <w:r w:rsidR="00F1226C">
              <w:rPr>
                <w:rFonts w:cs="Calibri"/>
                <w:sz w:val="18"/>
                <w:szCs w:val="18"/>
              </w:rPr>
              <w:t xml:space="preserve"> </w:t>
            </w:r>
            <w:r w:rsidR="00863958">
              <w:rPr>
                <w:rFonts w:cs="Calibri"/>
                <w:sz w:val="18"/>
                <w:szCs w:val="18"/>
              </w:rPr>
              <w:t>συναλλαγές</w:t>
            </w:r>
            <w:r w:rsidR="00F1226C">
              <w:rPr>
                <w:rFonts w:cs="Calibri"/>
                <w:sz w:val="18"/>
                <w:szCs w:val="18"/>
              </w:rPr>
              <w:t xml:space="preserve"> αυξήθηκ</w:t>
            </w:r>
            <w:r w:rsidR="00863958">
              <w:rPr>
                <w:rFonts w:cs="Calibri"/>
                <w:sz w:val="18"/>
                <w:szCs w:val="18"/>
              </w:rPr>
              <w:t>αν</w:t>
            </w:r>
            <w:r w:rsidR="00F1226C">
              <w:rPr>
                <w:rFonts w:cs="Calibri"/>
                <w:sz w:val="18"/>
                <w:szCs w:val="18"/>
              </w:rPr>
              <w:t xml:space="preserve">. </w:t>
            </w:r>
          </w:p>
          <w:p w:rsidR="00FA1352" w:rsidRPr="001C793F" w:rsidRDefault="00FA1352" w:rsidP="00255132">
            <w:pPr>
              <w:jc w:val="both"/>
              <w:rPr>
                <w:rFonts w:cs="Calibri"/>
                <w:sz w:val="18"/>
                <w:szCs w:val="18"/>
              </w:rPr>
            </w:pPr>
          </w:p>
        </w:tc>
      </w:tr>
      <w:tr w:rsidR="00FA1352" w:rsidRPr="00B64CF0" w:rsidTr="007D0DAE">
        <w:trPr>
          <w:trHeight w:val="434"/>
        </w:trPr>
        <w:tc>
          <w:tcPr>
            <w:tcW w:w="1701" w:type="dxa"/>
            <w:tcMar>
              <w:top w:w="57" w:type="dxa"/>
              <w:bottom w:w="57" w:type="dxa"/>
            </w:tcMar>
          </w:tcPr>
          <w:p w:rsidR="00FA1352" w:rsidRPr="00175A2E" w:rsidRDefault="00175A2E" w:rsidP="00175A2E">
            <w:pPr>
              <w:tabs>
                <w:tab w:val="left" w:pos="8262"/>
              </w:tabs>
              <w:spacing w:after="60"/>
              <w:ind w:left="32" w:right="74"/>
              <w:contextualSpacing/>
              <w:rPr>
                <w:rFonts w:cs="Calibri"/>
                <w:i/>
                <w:color w:val="6691AB"/>
                <w:sz w:val="24"/>
                <w:szCs w:val="24"/>
              </w:rPr>
            </w:pPr>
            <w:r>
              <w:rPr>
                <w:rFonts w:cs="Calibri"/>
                <w:i/>
                <w:color w:val="6691AB"/>
                <w:sz w:val="24"/>
                <w:szCs w:val="24"/>
              </w:rPr>
              <w:t>Ενέργειες για τη στήριξη της κοινωνίας</w:t>
            </w:r>
          </w:p>
        </w:tc>
        <w:tc>
          <w:tcPr>
            <w:tcW w:w="6946" w:type="dxa"/>
            <w:tcMar>
              <w:top w:w="57" w:type="dxa"/>
              <w:bottom w:w="57" w:type="dxa"/>
            </w:tcMar>
          </w:tcPr>
          <w:p w:rsidR="007F12AF" w:rsidRDefault="007F12AF" w:rsidP="007D0DAE">
            <w:pPr>
              <w:jc w:val="both"/>
              <w:rPr>
                <w:rFonts w:cs="Calibri"/>
                <w:sz w:val="18"/>
                <w:szCs w:val="18"/>
              </w:rPr>
            </w:pPr>
            <w:r w:rsidRPr="007F12AF">
              <w:rPr>
                <w:rFonts w:cs="Calibri"/>
                <w:sz w:val="18"/>
                <w:szCs w:val="18"/>
              </w:rPr>
              <w:t xml:space="preserve">Από τις πρώτες μέρες </w:t>
            </w:r>
            <w:r>
              <w:rPr>
                <w:rFonts w:cs="Calibri"/>
                <w:sz w:val="18"/>
                <w:szCs w:val="18"/>
              </w:rPr>
              <w:t xml:space="preserve">της </w:t>
            </w:r>
            <w:r w:rsidRPr="007F12AF">
              <w:rPr>
                <w:rFonts w:cs="Calibri"/>
                <w:sz w:val="18"/>
                <w:szCs w:val="18"/>
              </w:rPr>
              <w:t>πανδημ</w:t>
            </w:r>
            <w:r>
              <w:rPr>
                <w:rFonts w:cs="Calibri"/>
                <w:sz w:val="18"/>
                <w:szCs w:val="18"/>
              </w:rPr>
              <w:t xml:space="preserve">ίας, </w:t>
            </w:r>
            <w:r w:rsidRPr="007F12AF">
              <w:rPr>
                <w:rFonts w:cs="Calibri"/>
                <w:sz w:val="18"/>
                <w:szCs w:val="18"/>
              </w:rPr>
              <w:t xml:space="preserve">η Τράπεζα Πειραιώς προχώρησε στη δωρεά </w:t>
            </w:r>
            <w:r w:rsidR="00863958">
              <w:rPr>
                <w:rFonts w:cs="Calibri"/>
                <w:sz w:val="18"/>
                <w:szCs w:val="18"/>
              </w:rPr>
              <w:t xml:space="preserve">υγειονομικού </w:t>
            </w:r>
            <w:r w:rsidRPr="007F12AF">
              <w:rPr>
                <w:rFonts w:cs="Calibri"/>
                <w:sz w:val="18"/>
                <w:szCs w:val="18"/>
              </w:rPr>
              <w:t>εξοπλισμού (20 αναπνευστήρες), οι οποίοι επιλέχθηκαν σύμφωνα με τις οδηγίες του Υπουργείου Υγείας.</w:t>
            </w:r>
          </w:p>
          <w:p w:rsidR="007F12AF" w:rsidRDefault="007F12AF" w:rsidP="007D0DAE">
            <w:pPr>
              <w:jc w:val="both"/>
              <w:rPr>
                <w:rFonts w:cs="Calibri"/>
                <w:sz w:val="18"/>
                <w:szCs w:val="18"/>
              </w:rPr>
            </w:pPr>
          </w:p>
          <w:p w:rsidR="007F12AF" w:rsidRDefault="007F12AF" w:rsidP="007D0DAE">
            <w:pPr>
              <w:jc w:val="both"/>
              <w:rPr>
                <w:rFonts w:cs="Calibri"/>
                <w:sz w:val="18"/>
                <w:szCs w:val="18"/>
              </w:rPr>
            </w:pPr>
            <w:r w:rsidRPr="007F12AF">
              <w:rPr>
                <w:rFonts w:cs="Calibri"/>
                <w:sz w:val="18"/>
                <w:szCs w:val="18"/>
              </w:rPr>
              <w:t xml:space="preserve">Η Τράπεζα Πειραιώς </w:t>
            </w:r>
            <w:r w:rsidR="00863958">
              <w:rPr>
                <w:rFonts w:cs="Calibri"/>
                <w:sz w:val="18"/>
                <w:szCs w:val="18"/>
              </w:rPr>
              <w:t>προέτρεψε</w:t>
            </w:r>
            <w:r w:rsidRPr="007F12AF">
              <w:rPr>
                <w:rFonts w:cs="Calibri"/>
                <w:sz w:val="18"/>
                <w:szCs w:val="18"/>
              </w:rPr>
              <w:t xml:space="preserve"> επίσης τους πελάτες της για να συμμετάσχουν στη συλλογική προσπάθεια</w:t>
            </w:r>
            <w:r>
              <w:rPr>
                <w:rFonts w:cs="Calibri"/>
                <w:sz w:val="18"/>
                <w:szCs w:val="18"/>
              </w:rPr>
              <w:t>,</w:t>
            </w:r>
            <w:r w:rsidRPr="007F12AF">
              <w:rPr>
                <w:rFonts w:cs="Calibri"/>
                <w:sz w:val="18"/>
                <w:szCs w:val="18"/>
              </w:rPr>
              <w:t xml:space="preserve"> χρησιμοποιώντας την </w:t>
            </w:r>
            <w:r w:rsidRPr="007F12AF">
              <w:rPr>
                <w:rFonts w:cs="Calibri"/>
                <w:sz w:val="18"/>
                <w:szCs w:val="18"/>
                <w:lang w:val="en-US"/>
              </w:rPr>
              <w:t>online</w:t>
            </w:r>
            <w:r w:rsidRPr="007F12AF">
              <w:rPr>
                <w:rFonts w:cs="Calibri"/>
                <w:sz w:val="18"/>
                <w:szCs w:val="18"/>
              </w:rPr>
              <w:t xml:space="preserve"> υπηρεσία «</w:t>
            </w:r>
            <w:r w:rsidRPr="007F12AF">
              <w:rPr>
                <w:rFonts w:cs="Calibri"/>
                <w:sz w:val="18"/>
                <w:szCs w:val="18"/>
                <w:lang w:val="en-US"/>
              </w:rPr>
              <w:t>Pay</w:t>
            </w:r>
            <w:r w:rsidRPr="007F12AF">
              <w:rPr>
                <w:rFonts w:cs="Calibri"/>
                <w:sz w:val="18"/>
                <w:szCs w:val="18"/>
              </w:rPr>
              <w:t xml:space="preserve"> &amp; </w:t>
            </w:r>
            <w:r w:rsidRPr="007F12AF">
              <w:rPr>
                <w:rFonts w:cs="Calibri"/>
                <w:sz w:val="18"/>
                <w:szCs w:val="18"/>
                <w:lang w:val="en-US"/>
              </w:rPr>
              <w:t>Save</w:t>
            </w:r>
            <w:r w:rsidRPr="007F12AF">
              <w:rPr>
                <w:rFonts w:cs="Calibri"/>
                <w:sz w:val="18"/>
                <w:szCs w:val="18"/>
              </w:rPr>
              <w:t xml:space="preserve">». Σε </w:t>
            </w:r>
            <w:r>
              <w:rPr>
                <w:rFonts w:cs="Calibri"/>
                <w:sz w:val="18"/>
                <w:szCs w:val="18"/>
              </w:rPr>
              <w:t>μία</w:t>
            </w:r>
            <w:r w:rsidRPr="007F12AF">
              <w:rPr>
                <w:rFonts w:cs="Calibri"/>
                <w:sz w:val="18"/>
                <w:szCs w:val="18"/>
              </w:rPr>
              <w:t xml:space="preserve"> συγκεκριμένη χρονική στιγμή, οι </w:t>
            </w:r>
            <w:r w:rsidR="00863958">
              <w:rPr>
                <w:rFonts w:cs="Calibri"/>
                <w:sz w:val="18"/>
                <w:szCs w:val="18"/>
              </w:rPr>
              <w:t>πελάτες</w:t>
            </w:r>
            <w:r w:rsidRPr="007F12AF">
              <w:rPr>
                <w:rFonts w:cs="Calibri"/>
                <w:sz w:val="18"/>
                <w:szCs w:val="18"/>
              </w:rPr>
              <w:t xml:space="preserve"> εξοικονόμησαν </w:t>
            </w:r>
            <w:r w:rsidR="00863958">
              <w:rPr>
                <w:rFonts w:cs="Calibri"/>
                <w:sz w:val="18"/>
                <w:szCs w:val="18"/>
              </w:rPr>
              <w:t xml:space="preserve">συνολικά </w:t>
            </w:r>
            <w:r>
              <w:rPr>
                <w:rFonts w:cs="Calibri"/>
                <w:sz w:val="18"/>
                <w:szCs w:val="18"/>
              </w:rPr>
              <w:t>€</w:t>
            </w:r>
            <w:r w:rsidRPr="007F12AF">
              <w:rPr>
                <w:rFonts w:cs="Calibri"/>
                <w:sz w:val="18"/>
                <w:szCs w:val="18"/>
              </w:rPr>
              <w:t>0,4</w:t>
            </w:r>
            <w:r>
              <w:rPr>
                <w:rFonts w:cs="Calibri"/>
                <w:sz w:val="18"/>
                <w:szCs w:val="18"/>
              </w:rPr>
              <w:t>ε</w:t>
            </w:r>
            <w:r w:rsidRPr="007F12AF">
              <w:rPr>
                <w:rFonts w:cs="Calibri"/>
                <w:sz w:val="18"/>
                <w:szCs w:val="18"/>
              </w:rPr>
              <w:t>κατ. και η Τράπεζα προσέφερε τ</w:t>
            </w:r>
            <w:r w:rsidR="00863958">
              <w:rPr>
                <w:rFonts w:cs="Calibri"/>
                <w:sz w:val="18"/>
                <w:szCs w:val="18"/>
              </w:rPr>
              <w:t>ο</w:t>
            </w:r>
            <w:r w:rsidRPr="007F12AF">
              <w:rPr>
                <w:rFonts w:cs="Calibri"/>
                <w:sz w:val="18"/>
                <w:szCs w:val="18"/>
              </w:rPr>
              <w:t xml:space="preserve"> αντίστοιχ</w:t>
            </w:r>
            <w:r w:rsidR="00863958">
              <w:rPr>
                <w:rFonts w:cs="Calibri"/>
                <w:sz w:val="18"/>
                <w:szCs w:val="18"/>
              </w:rPr>
              <w:t>ο</w:t>
            </w:r>
            <w:r w:rsidRPr="007F12AF">
              <w:rPr>
                <w:rFonts w:cs="Calibri"/>
                <w:sz w:val="18"/>
                <w:szCs w:val="18"/>
              </w:rPr>
              <w:t xml:space="preserve"> ποσ</w:t>
            </w:r>
            <w:r w:rsidR="00863958">
              <w:rPr>
                <w:rFonts w:cs="Calibri"/>
                <w:sz w:val="18"/>
                <w:szCs w:val="18"/>
              </w:rPr>
              <w:t>ό</w:t>
            </w:r>
            <w:r w:rsidRPr="007F12AF">
              <w:rPr>
                <w:rFonts w:cs="Calibri"/>
                <w:sz w:val="18"/>
                <w:szCs w:val="18"/>
              </w:rPr>
              <w:t xml:space="preserve"> για τις ανάγκες αντιμετώπισης της πανδημίας.</w:t>
            </w:r>
          </w:p>
          <w:p w:rsidR="007F12AF" w:rsidRDefault="007F12AF" w:rsidP="007D0DAE">
            <w:pPr>
              <w:jc w:val="both"/>
              <w:rPr>
                <w:rFonts w:cs="Calibri"/>
                <w:sz w:val="18"/>
                <w:szCs w:val="18"/>
              </w:rPr>
            </w:pPr>
          </w:p>
          <w:p w:rsidR="007F12AF" w:rsidRDefault="007F12AF" w:rsidP="007D0DAE">
            <w:pPr>
              <w:jc w:val="both"/>
              <w:rPr>
                <w:rFonts w:cs="Calibri"/>
                <w:sz w:val="18"/>
                <w:szCs w:val="18"/>
              </w:rPr>
            </w:pPr>
            <w:r w:rsidRPr="007F12AF">
              <w:rPr>
                <w:rFonts w:cs="Calibri"/>
                <w:sz w:val="18"/>
                <w:szCs w:val="18"/>
              </w:rPr>
              <w:t xml:space="preserve">Προκειμένου να υποστηρίξει </w:t>
            </w:r>
            <w:r w:rsidR="0057735A">
              <w:rPr>
                <w:rFonts w:cs="Calibri"/>
                <w:sz w:val="18"/>
                <w:szCs w:val="18"/>
              </w:rPr>
              <w:t xml:space="preserve">τις </w:t>
            </w:r>
            <w:r w:rsidRPr="007F12AF">
              <w:rPr>
                <w:rFonts w:cs="Calibri"/>
                <w:sz w:val="18"/>
                <w:szCs w:val="18"/>
              </w:rPr>
              <w:t xml:space="preserve">ευάλωτες ομάδες, η Τράπεζα </w:t>
            </w:r>
            <w:proofErr w:type="spellStart"/>
            <w:r w:rsidR="00863958">
              <w:rPr>
                <w:rFonts w:cs="Calibri"/>
                <w:sz w:val="18"/>
                <w:szCs w:val="18"/>
              </w:rPr>
              <w:t>Πειραιλως</w:t>
            </w:r>
            <w:proofErr w:type="spellEnd"/>
            <w:r w:rsidR="00863958">
              <w:rPr>
                <w:rFonts w:cs="Calibri"/>
                <w:sz w:val="18"/>
                <w:szCs w:val="18"/>
              </w:rPr>
              <w:t xml:space="preserve"> </w:t>
            </w:r>
            <w:r w:rsidRPr="007F12AF">
              <w:rPr>
                <w:rFonts w:cs="Calibri"/>
                <w:sz w:val="18"/>
                <w:szCs w:val="18"/>
              </w:rPr>
              <w:t xml:space="preserve">ανακοίνωσε τη διάθεση 26 εξοπλισμένων </w:t>
            </w:r>
            <w:r w:rsidR="00863958">
              <w:rPr>
                <w:rFonts w:cs="Calibri"/>
                <w:sz w:val="18"/>
                <w:szCs w:val="18"/>
              </w:rPr>
              <w:t>κατοικιών</w:t>
            </w:r>
            <w:r w:rsidRPr="007F12AF">
              <w:rPr>
                <w:rFonts w:cs="Calibri"/>
                <w:sz w:val="18"/>
                <w:szCs w:val="18"/>
              </w:rPr>
              <w:t xml:space="preserve"> στην Αττική, τη Θεσσαλονίκη και την Πάτρα για τη φιλοξενία καρκινοπαθών, καθώς και των συγγενών και συνοδ</w:t>
            </w:r>
            <w:r w:rsidR="0057735A">
              <w:rPr>
                <w:rFonts w:cs="Calibri"/>
                <w:sz w:val="18"/>
                <w:szCs w:val="18"/>
              </w:rPr>
              <w:t>ών</w:t>
            </w:r>
            <w:r w:rsidRPr="007F12AF">
              <w:rPr>
                <w:rFonts w:cs="Calibri"/>
                <w:sz w:val="18"/>
                <w:szCs w:val="18"/>
              </w:rPr>
              <w:t xml:space="preserve"> </w:t>
            </w:r>
            <w:r w:rsidR="0057735A">
              <w:rPr>
                <w:rFonts w:cs="Calibri"/>
                <w:sz w:val="18"/>
                <w:szCs w:val="18"/>
              </w:rPr>
              <w:t>τους,</w:t>
            </w:r>
            <w:r w:rsidRPr="007F12AF">
              <w:rPr>
                <w:rFonts w:cs="Calibri"/>
                <w:sz w:val="18"/>
                <w:szCs w:val="18"/>
              </w:rPr>
              <w:t xml:space="preserve"> σε συνεργασία με την Ελληνική Ομοσπονδία Καρκίνου, υπό την αιγίδα του Υπουργείου Υγείας.</w:t>
            </w:r>
          </w:p>
          <w:p w:rsidR="007F12AF" w:rsidRDefault="007F12AF" w:rsidP="007D0DAE">
            <w:pPr>
              <w:jc w:val="both"/>
              <w:rPr>
                <w:rFonts w:cs="Calibri"/>
                <w:sz w:val="18"/>
                <w:szCs w:val="18"/>
              </w:rPr>
            </w:pPr>
          </w:p>
          <w:p w:rsidR="00FA1352" w:rsidRPr="001C793F" w:rsidRDefault="0057735A" w:rsidP="00B0269B">
            <w:pPr>
              <w:jc w:val="both"/>
              <w:rPr>
                <w:rFonts w:cs="Calibri"/>
                <w:sz w:val="18"/>
                <w:szCs w:val="18"/>
              </w:rPr>
            </w:pPr>
            <w:r w:rsidRPr="0057735A">
              <w:rPr>
                <w:rFonts w:cs="Calibri"/>
                <w:sz w:val="18"/>
                <w:szCs w:val="18"/>
              </w:rPr>
              <w:t xml:space="preserve">Το </w:t>
            </w:r>
            <w:r>
              <w:rPr>
                <w:rFonts w:cs="Calibri"/>
                <w:sz w:val="18"/>
                <w:szCs w:val="18"/>
              </w:rPr>
              <w:t>«</w:t>
            </w:r>
            <w:r w:rsidRPr="0057735A">
              <w:rPr>
                <w:rFonts w:cs="Calibri"/>
                <w:sz w:val="18"/>
                <w:szCs w:val="18"/>
                <w:lang w:val="en-US"/>
              </w:rPr>
              <w:t>Project</w:t>
            </w:r>
            <w:r w:rsidRPr="0057735A">
              <w:rPr>
                <w:rFonts w:cs="Calibri"/>
                <w:sz w:val="18"/>
                <w:szCs w:val="18"/>
              </w:rPr>
              <w:t xml:space="preserve"> </w:t>
            </w:r>
            <w:r w:rsidRPr="0057735A">
              <w:rPr>
                <w:rFonts w:cs="Calibri"/>
                <w:sz w:val="18"/>
                <w:szCs w:val="18"/>
                <w:lang w:val="en-US"/>
              </w:rPr>
              <w:t>Future</w:t>
            </w:r>
            <w:r>
              <w:rPr>
                <w:rFonts w:cs="Calibri"/>
                <w:sz w:val="18"/>
                <w:szCs w:val="18"/>
              </w:rPr>
              <w:t>»</w:t>
            </w:r>
            <w:r w:rsidRPr="0057735A">
              <w:rPr>
                <w:rFonts w:cs="Calibri"/>
                <w:sz w:val="18"/>
                <w:szCs w:val="18"/>
              </w:rPr>
              <w:t xml:space="preserve"> είναι μ</w:t>
            </w:r>
            <w:r>
              <w:rPr>
                <w:rFonts w:cs="Calibri"/>
                <w:sz w:val="18"/>
                <w:szCs w:val="18"/>
              </w:rPr>
              <w:t>ί</w:t>
            </w:r>
            <w:r w:rsidRPr="0057735A">
              <w:rPr>
                <w:rFonts w:cs="Calibri"/>
                <w:sz w:val="18"/>
                <w:szCs w:val="18"/>
              </w:rPr>
              <w:t xml:space="preserve">α εξαιρετικά σημαντική πρωτοβουλία, η οποία στηρίζει τους νέους που προσπαθούν να εισέλθουν σε μια άκρως ανταγωνιστική αγορά εργασίας. Το πρόγραμμα προσφέρει στους νέους </w:t>
            </w:r>
            <w:r w:rsidR="00B0269B">
              <w:rPr>
                <w:rFonts w:cs="Calibri"/>
                <w:sz w:val="18"/>
                <w:szCs w:val="18"/>
              </w:rPr>
              <w:t>υποψηφίους</w:t>
            </w:r>
            <w:r w:rsidRPr="0057735A">
              <w:rPr>
                <w:rFonts w:cs="Calibri"/>
                <w:sz w:val="18"/>
                <w:szCs w:val="18"/>
              </w:rPr>
              <w:t xml:space="preserve"> πολύτιμη επαγγελματική εμπειρία, δεξιότητες και επιχειρηματικές επαφές, οι οποίες θα τους βοηθήσουν να εξασφαλίσουν μια θέση εργασίας στο μέλλον. Η Τράπεζα φιλοξένησε το πρώτο μέρος του 4</w:t>
            </w:r>
            <w:r w:rsidRPr="0057735A">
              <w:rPr>
                <w:rFonts w:cs="Calibri"/>
                <w:sz w:val="18"/>
                <w:szCs w:val="18"/>
                <w:vertAlign w:val="superscript"/>
              </w:rPr>
              <w:t>ου</w:t>
            </w:r>
            <w:r>
              <w:rPr>
                <w:rFonts w:cs="Calibri"/>
                <w:sz w:val="18"/>
                <w:szCs w:val="18"/>
              </w:rPr>
              <w:t xml:space="preserve"> </w:t>
            </w:r>
            <w:r w:rsidRPr="0057735A">
              <w:rPr>
                <w:rFonts w:cs="Calibri"/>
                <w:sz w:val="18"/>
                <w:szCs w:val="18"/>
              </w:rPr>
              <w:t>κύ</w:t>
            </w:r>
            <w:r w:rsidR="00B0269B">
              <w:rPr>
                <w:rFonts w:cs="Calibri"/>
                <w:sz w:val="18"/>
                <w:szCs w:val="18"/>
              </w:rPr>
              <w:t>κλου κατάρτισης σε ένα εντελώς</w:t>
            </w:r>
            <w:r w:rsidRPr="0057735A">
              <w:rPr>
                <w:rFonts w:cs="Calibri"/>
                <w:sz w:val="18"/>
                <w:szCs w:val="18"/>
              </w:rPr>
              <w:t xml:space="preserve"> ψηφιακό περιβάλλον, με τη συμμετοχή 244 </w:t>
            </w:r>
            <w:proofErr w:type="spellStart"/>
            <w:r w:rsidR="00B0269B">
              <w:rPr>
                <w:rFonts w:cs="Calibri"/>
                <w:sz w:val="18"/>
                <w:szCs w:val="18"/>
              </w:rPr>
              <w:t>συμμετοχόντων</w:t>
            </w:r>
            <w:proofErr w:type="spellEnd"/>
            <w:r w:rsidRPr="0057735A">
              <w:rPr>
                <w:rFonts w:cs="Calibri"/>
                <w:sz w:val="18"/>
                <w:szCs w:val="18"/>
              </w:rPr>
              <w:t xml:space="preserve">. </w:t>
            </w:r>
          </w:p>
        </w:tc>
      </w:tr>
      <w:tr w:rsidR="001D3112" w:rsidRPr="00B64CF0" w:rsidTr="007D0DAE">
        <w:trPr>
          <w:trHeight w:val="434"/>
        </w:trPr>
        <w:tc>
          <w:tcPr>
            <w:tcW w:w="1701" w:type="dxa"/>
            <w:tcMar>
              <w:top w:w="57" w:type="dxa"/>
              <w:bottom w:w="57" w:type="dxa"/>
            </w:tcMar>
          </w:tcPr>
          <w:p w:rsidR="001D3112" w:rsidRPr="001D3112" w:rsidRDefault="00B0269B" w:rsidP="00175A2E">
            <w:pPr>
              <w:tabs>
                <w:tab w:val="left" w:pos="8262"/>
              </w:tabs>
              <w:spacing w:after="60"/>
              <w:ind w:left="32" w:right="74"/>
              <w:contextualSpacing/>
              <w:rPr>
                <w:rFonts w:cs="Calibri"/>
                <w:i/>
                <w:color w:val="6691AB"/>
                <w:sz w:val="24"/>
                <w:szCs w:val="24"/>
                <w:lang w:val="en-GB"/>
              </w:rPr>
            </w:pPr>
            <w:r>
              <w:rPr>
                <w:rFonts w:cs="Calibri"/>
                <w:i/>
                <w:color w:val="6691AB"/>
                <w:sz w:val="24"/>
                <w:szCs w:val="24"/>
              </w:rPr>
              <w:t>Εργαζόμενοι</w:t>
            </w:r>
            <w:r w:rsidR="00175A2E">
              <w:rPr>
                <w:rFonts w:cs="Calibri"/>
                <w:i/>
                <w:color w:val="6691AB"/>
                <w:sz w:val="24"/>
                <w:szCs w:val="24"/>
              </w:rPr>
              <w:t xml:space="preserve"> </w:t>
            </w:r>
          </w:p>
        </w:tc>
        <w:tc>
          <w:tcPr>
            <w:tcW w:w="6946" w:type="dxa"/>
            <w:tcMar>
              <w:top w:w="57" w:type="dxa"/>
              <w:bottom w:w="57" w:type="dxa"/>
            </w:tcMar>
          </w:tcPr>
          <w:p w:rsidR="0033178A" w:rsidRDefault="0033178A" w:rsidP="007D0DAE">
            <w:pPr>
              <w:jc w:val="both"/>
              <w:rPr>
                <w:rFonts w:cs="Calibri"/>
                <w:sz w:val="18"/>
                <w:szCs w:val="18"/>
              </w:rPr>
            </w:pPr>
            <w:r w:rsidRPr="0033178A">
              <w:rPr>
                <w:rFonts w:cs="Calibri"/>
                <w:sz w:val="18"/>
                <w:szCs w:val="18"/>
              </w:rPr>
              <w:t xml:space="preserve">Η Τράπεζα Πειραιώς είναι σε στενή συνεργασία με τις </w:t>
            </w:r>
            <w:r w:rsidR="00F813CF">
              <w:rPr>
                <w:rFonts w:cs="Calibri"/>
                <w:sz w:val="18"/>
                <w:szCs w:val="18"/>
              </w:rPr>
              <w:t xml:space="preserve">αρμόδιες </w:t>
            </w:r>
            <w:r w:rsidRPr="0033178A">
              <w:rPr>
                <w:rFonts w:cs="Calibri"/>
                <w:sz w:val="18"/>
                <w:szCs w:val="18"/>
              </w:rPr>
              <w:t>αρχές και υιοθετεί καθορισμένα πρωτόκολλα, εφαρμόζοντας όλα τα απαραίτητα μέτρα τα οποία προτείνονται για την πρόληψη και την προστασία των εργαζόμενων της, θέτοντας ως πρωταρχικό στόχο την υγεία και την ασφάλει</w:t>
            </w:r>
            <w:r>
              <w:rPr>
                <w:rFonts w:cs="Calibri"/>
                <w:sz w:val="18"/>
                <w:szCs w:val="18"/>
              </w:rPr>
              <w:t>ά</w:t>
            </w:r>
            <w:r w:rsidRPr="0033178A">
              <w:rPr>
                <w:rFonts w:cs="Calibri"/>
                <w:sz w:val="18"/>
                <w:szCs w:val="18"/>
              </w:rPr>
              <w:t xml:space="preserve"> του. </w:t>
            </w:r>
          </w:p>
          <w:p w:rsidR="0033178A" w:rsidRDefault="0033178A" w:rsidP="007D0DAE">
            <w:pPr>
              <w:jc w:val="both"/>
              <w:rPr>
                <w:rFonts w:cs="Calibri"/>
                <w:sz w:val="18"/>
                <w:szCs w:val="18"/>
              </w:rPr>
            </w:pPr>
          </w:p>
          <w:p w:rsidR="00CE08D6" w:rsidRDefault="0033178A" w:rsidP="007D0DAE">
            <w:pPr>
              <w:jc w:val="both"/>
              <w:rPr>
                <w:rFonts w:cs="Calibri"/>
                <w:sz w:val="18"/>
                <w:szCs w:val="18"/>
              </w:rPr>
            </w:pPr>
            <w:r w:rsidRPr="0033178A">
              <w:rPr>
                <w:rFonts w:cs="Calibri"/>
                <w:sz w:val="18"/>
                <w:szCs w:val="18"/>
              </w:rPr>
              <w:t xml:space="preserve">Το </w:t>
            </w:r>
            <w:r w:rsidR="00C81415">
              <w:rPr>
                <w:rFonts w:cs="Calibri"/>
                <w:sz w:val="18"/>
                <w:szCs w:val="18"/>
              </w:rPr>
              <w:t>πρόγραμμα</w:t>
            </w:r>
            <w:r w:rsidRPr="0033178A">
              <w:rPr>
                <w:rFonts w:cs="Calibri"/>
                <w:sz w:val="18"/>
                <w:szCs w:val="18"/>
              </w:rPr>
              <w:t xml:space="preserve"> για την σταδιακή επιστροφή στο χώρο εργασίας είναι ευθυγραμμισμένο με επιστημονικά δεδομένα και τις κατευθύνσεις που έχουν δοθεί. Σε όλες τις περιπτώσεις, οι προτεινόμενες αποστάσεις ασφαλείας έχουν υιοθετηθεί, ενώ δράσεις και μέτρα έχουν καθοριστεί με σκοπό την διαχείριση της </w:t>
            </w:r>
            <w:proofErr w:type="spellStart"/>
            <w:r w:rsidRPr="0033178A">
              <w:rPr>
                <w:rFonts w:cs="Calibri"/>
                <w:sz w:val="18"/>
                <w:szCs w:val="18"/>
              </w:rPr>
              <w:t>επισκεψιμότητας</w:t>
            </w:r>
            <w:proofErr w:type="spellEnd"/>
            <w:r w:rsidRPr="0033178A">
              <w:rPr>
                <w:rFonts w:cs="Calibri"/>
                <w:sz w:val="18"/>
                <w:szCs w:val="18"/>
              </w:rPr>
              <w:t xml:space="preserve"> των πελατών στο δίκτυο καταστημάτων. </w:t>
            </w:r>
          </w:p>
          <w:p w:rsidR="0033178A" w:rsidRPr="0033178A" w:rsidRDefault="0033178A" w:rsidP="007D0DAE">
            <w:pPr>
              <w:jc w:val="both"/>
              <w:rPr>
                <w:rFonts w:cs="Calibri"/>
                <w:sz w:val="18"/>
                <w:szCs w:val="18"/>
              </w:rPr>
            </w:pPr>
          </w:p>
          <w:p w:rsidR="0033178A" w:rsidRPr="0033178A" w:rsidRDefault="0033178A" w:rsidP="0033178A">
            <w:pPr>
              <w:jc w:val="both"/>
              <w:rPr>
                <w:sz w:val="18"/>
                <w:szCs w:val="18"/>
              </w:rPr>
            </w:pPr>
            <w:r w:rsidRPr="0033178A">
              <w:rPr>
                <w:rFonts w:cs="Calibri"/>
                <w:sz w:val="18"/>
                <w:szCs w:val="18"/>
              </w:rPr>
              <w:t xml:space="preserve">Επιπλέον, έχουν υιοθετηθεί ψηφιακά μέσα επικοινωνίας και αποτελεσματικές πρακτικές εργασίας εξ αποστάσεως, οι οποίες συμβάλουν ενεργά στη διατήρηση της επιχειρησιακής </w:t>
            </w:r>
            <w:r w:rsidR="00C81415">
              <w:rPr>
                <w:rFonts w:cs="Calibri"/>
                <w:sz w:val="18"/>
                <w:szCs w:val="18"/>
              </w:rPr>
              <w:t>συνέχειας της Τράπεζας εν μέσω της κρ</w:t>
            </w:r>
            <w:r w:rsidR="00F813CF">
              <w:rPr>
                <w:rFonts w:cs="Calibri"/>
                <w:sz w:val="18"/>
                <w:szCs w:val="18"/>
              </w:rPr>
              <w:t>ί</w:t>
            </w:r>
            <w:r w:rsidR="00C81415">
              <w:rPr>
                <w:rFonts w:cs="Calibri"/>
                <w:sz w:val="18"/>
                <w:szCs w:val="18"/>
              </w:rPr>
              <w:t>σης</w:t>
            </w:r>
            <w:r w:rsidR="00F813CF">
              <w:rPr>
                <w:rFonts w:cs="Calibri"/>
                <w:sz w:val="18"/>
                <w:szCs w:val="18"/>
              </w:rPr>
              <w:t xml:space="preserve">, στοχεύοντας την επίτευξη της υψηλής απόδοσης και </w:t>
            </w:r>
            <w:r w:rsidRPr="0033178A">
              <w:rPr>
                <w:sz w:val="18"/>
                <w:szCs w:val="18"/>
              </w:rPr>
              <w:t>υπευθυνότητα</w:t>
            </w:r>
            <w:r w:rsidR="00F813CF">
              <w:rPr>
                <w:sz w:val="18"/>
                <w:szCs w:val="18"/>
              </w:rPr>
              <w:t>ς</w:t>
            </w:r>
            <w:r w:rsidRPr="0033178A">
              <w:rPr>
                <w:sz w:val="18"/>
                <w:szCs w:val="18"/>
              </w:rPr>
              <w:t xml:space="preserve"> των εργαζομένων.</w:t>
            </w:r>
          </w:p>
          <w:p w:rsidR="0033178A" w:rsidRPr="0033178A" w:rsidRDefault="0033178A" w:rsidP="0033178A">
            <w:pPr>
              <w:jc w:val="both"/>
              <w:rPr>
                <w:sz w:val="18"/>
                <w:szCs w:val="18"/>
              </w:rPr>
            </w:pPr>
          </w:p>
          <w:p w:rsidR="0033178A" w:rsidRPr="0033178A" w:rsidRDefault="0033178A" w:rsidP="0033178A">
            <w:pPr>
              <w:jc w:val="both"/>
              <w:rPr>
                <w:sz w:val="18"/>
                <w:szCs w:val="18"/>
              </w:rPr>
            </w:pPr>
            <w:r w:rsidRPr="0033178A">
              <w:rPr>
                <w:sz w:val="18"/>
                <w:szCs w:val="18"/>
              </w:rPr>
              <w:t xml:space="preserve">Καινοτόμα κανάλια επικοινωνίας έχουν χρησιμοποιηθεί έτσι ώστε όλοι οι εργαζόμενοι να έχουν πρόσβαση σε πληροφόρηση σε όλες τις </w:t>
            </w:r>
            <w:r>
              <w:rPr>
                <w:sz w:val="18"/>
                <w:szCs w:val="18"/>
              </w:rPr>
              <w:t>περιπτώσεις («</w:t>
            </w:r>
            <w:r w:rsidR="005E31DD">
              <w:rPr>
                <w:sz w:val="18"/>
                <w:szCs w:val="18"/>
                <w:lang w:val="en-US"/>
              </w:rPr>
              <w:t>Connected</w:t>
            </w:r>
            <w:r>
              <w:rPr>
                <w:sz w:val="18"/>
                <w:szCs w:val="18"/>
              </w:rPr>
              <w:t>»).</w:t>
            </w:r>
          </w:p>
          <w:p w:rsidR="0033178A" w:rsidRPr="0033178A" w:rsidRDefault="0033178A" w:rsidP="0033178A">
            <w:pPr>
              <w:jc w:val="both"/>
              <w:rPr>
                <w:sz w:val="18"/>
                <w:szCs w:val="18"/>
              </w:rPr>
            </w:pPr>
          </w:p>
          <w:p w:rsidR="0033178A" w:rsidRPr="0033178A" w:rsidRDefault="0033178A" w:rsidP="0033178A">
            <w:pPr>
              <w:jc w:val="both"/>
              <w:rPr>
                <w:sz w:val="18"/>
                <w:szCs w:val="18"/>
              </w:rPr>
            </w:pPr>
            <w:r w:rsidRPr="0033178A">
              <w:rPr>
                <w:sz w:val="18"/>
                <w:szCs w:val="18"/>
              </w:rPr>
              <w:lastRenderedPageBreak/>
              <w:t>Η ψηφιακή πλατφόρμα μάθησης της Τράπεζας Πειραιώς είναι υπό αναβάθμιση, χρησιμοποιώντας νέες τεχνολογίες και εξασφαλίζοντας πρόσβαση σε όλους. Το νέο περιβάλλον μάθησης της Τράπεζας ονομάζεται «</w:t>
            </w:r>
            <w:proofErr w:type="spellStart"/>
            <w:r w:rsidRPr="005E3DEB">
              <w:rPr>
                <w:sz w:val="18"/>
                <w:szCs w:val="18"/>
                <w:lang w:val="en-US"/>
              </w:rPr>
              <w:t>Upgreat</w:t>
            </w:r>
            <w:proofErr w:type="spellEnd"/>
            <w:r w:rsidRPr="0033178A">
              <w:rPr>
                <w:sz w:val="18"/>
                <w:szCs w:val="18"/>
              </w:rPr>
              <w:t xml:space="preserve"> </w:t>
            </w:r>
            <w:r w:rsidRPr="005E3DEB">
              <w:rPr>
                <w:sz w:val="18"/>
                <w:szCs w:val="18"/>
                <w:lang w:val="en-US"/>
              </w:rPr>
              <w:t>Digital</w:t>
            </w:r>
            <w:r w:rsidRPr="0033178A">
              <w:rPr>
                <w:sz w:val="18"/>
                <w:szCs w:val="18"/>
              </w:rPr>
              <w:t xml:space="preserve"> </w:t>
            </w:r>
            <w:r w:rsidRPr="005E3DEB">
              <w:rPr>
                <w:sz w:val="18"/>
                <w:szCs w:val="18"/>
                <w:lang w:val="en-US"/>
              </w:rPr>
              <w:t>Platform</w:t>
            </w:r>
            <w:r w:rsidRPr="0033178A">
              <w:rPr>
                <w:sz w:val="18"/>
                <w:szCs w:val="18"/>
              </w:rPr>
              <w:t xml:space="preserve">”. Προσφέρει τη δυνατότητα πρόσβασης σε υλικό σχετιζόμενο με επιχειρηματικά θέματα, εκπαιδευτικό οπτικοακουστικό υλικό και δίνει τη δυνατότητα να συμμετάσχουν οι εργαζόμενοι σε </w:t>
            </w:r>
            <w:r w:rsidRPr="005E3DEB">
              <w:rPr>
                <w:sz w:val="18"/>
                <w:szCs w:val="18"/>
                <w:lang w:val="en-US"/>
              </w:rPr>
              <w:t>e</w:t>
            </w:r>
            <w:r w:rsidRPr="0033178A">
              <w:rPr>
                <w:sz w:val="18"/>
                <w:szCs w:val="18"/>
              </w:rPr>
              <w:t>-</w:t>
            </w:r>
            <w:r w:rsidRPr="005E3DEB">
              <w:rPr>
                <w:sz w:val="18"/>
                <w:szCs w:val="18"/>
                <w:lang w:val="en-US"/>
              </w:rPr>
              <w:t>learning</w:t>
            </w:r>
            <w:r w:rsidRPr="0033178A">
              <w:rPr>
                <w:sz w:val="18"/>
                <w:szCs w:val="18"/>
              </w:rPr>
              <w:t xml:space="preserve"> μαθήματα και σε εικονικές τάξεις για θέματα ασφ</w:t>
            </w:r>
            <w:r w:rsidR="00FB0D59">
              <w:rPr>
                <w:sz w:val="18"/>
                <w:szCs w:val="18"/>
              </w:rPr>
              <w:t>ά</w:t>
            </w:r>
            <w:r w:rsidRPr="0033178A">
              <w:rPr>
                <w:sz w:val="18"/>
                <w:szCs w:val="18"/>
              </w:rPr>
              <w:t xml:space="preserve">λειας, υγείας και ευεξίας στο σπίτι. </w:t>
            </w:r>
          </w:p>
          <w:p w:rsidR="0033178A" w:rsidRPr="0033178A" w:rsidRDefault="0033178A" w:rsidP="0033178A">
            <w:pPr>
              <w:jc w:val="both"/>
              <w:rPr>
                <w:sz w:val="18"/>
                <w:szCs w:val="18"/>
              </w:rPr>
            </w:pPr>
          </w:p>
          <w:p w:rsidR="0033178A" w:rsidRPr="0033178A" w:rsidRDefault="005E31DD" w:rsidP="0033178A">
            <w:pPr>
              <w:jc w:val="both"/>
              <w:rPr>
                <w:sz w:val="18"/>
                <w:szCs w:val="18"/>
              </w:rPr>
            </w:pPr>
            <w:r>
              <w:rPr>
                <w:sz w:val="18"/>
                <w:szCs w:val="18"/>
              </w:rPr>
              <w:t xml:space="preserve">Επίσης, </w:t>
            </w:r>
            <w:r w:rsidR="0033178A" w:rsidRPr="0033178A">
              <w:rPr>
                <w:sz w:val="18"/>
                <w:szCs w:val="18"/>
              </w:rPr>
              <w:t>πραγματοποιήθηκε</w:t>
            </w:r>
            <w:r>
              <w:rPr>
                <w:sz w:val="18"/>
                <w:szCs w:val="18"/>
              </w:rPr>
              <w:t xml:space="preserve"> έρευνα</w:t>
            </w:r>
            <w:r w:rsidR="0033178A" w:rsidRPr="0033178A">
              <w:rPr>
                <w:sz w:val="18"/>
                <w:szCs w:val="18"/>
              </w:rPr>
              <w:t xml:space="preserve"> σε σχέση με τις προκλήσεις της περιόδου με πολύ ενθαρρυντικά αποτελέσματα. </w:t>
            </w:r>
          </w:p>
          <w:p w:rsidR="0033178A" w:rsidRPr="0033178A" w:rsidRDefault="0033178A" w:rsidP="0033178A">
            <w:pPr>
              <w:jc w:val="both"/>
              <w:rPr>
                <w:sz w:val="18"/>
                <w:szCs w:val="18"/>
              </w:rPr>
            </w:pPr>
          </w:p>
          <w:p w:rsidR="0033178A" w:rsidRPr="0033178A" w:rsidRDefault="0033178A" w:rsidP="0033178A">
            <w:pPr>
              <w:jc w:val="both"/>
              <w:rPr>
                <w:sz w:val="18"/>
                <w:szCs w:val="18"/>
              </w:rPr>
            </w:pPr>
            <w:r w:rsidRPr="0033178A">
              <w:rPr>
                <w:sz w:val="18"/>
                <w:szCs w:val="18"/>
              </w:rPr>
              <w:t xml:space="preserve">Τέλος, η Τράπεζα </w:t>
            </w:r>
            <w:r w:rsidR="005E31DD">
              <w:rPr>
                <w:sz w:val="18"/>
                <w:szCs w:val="18"/>
              </w:rPr>
              <w:t xml:space="preserve">εισήγαγε </w:t>
            </w:r>
            <w:r w:rsidRPr="0033178A">
              <w:rPr>
                <w:sz w:val="18"/>
                <w:szCs w:val="18"/>
              </w:rPr>
              <w:t xml:space="preserve">πρόγραμμα επιβράβευσης για τους εργαζομένους πρώτης γραμμής στο δίκτυο καταστημάτων που βοήθησαν στην εξυπηρέτηση </w:t>
            </w:r>
            <w:r w:rsidR="005E31DD">
              <w:rPr>
                <w:sz w:val="18"/>
                <w:szCs w:val="18"/>
              </w:rPr>
              <w:t>των αναγκών των πελατών</w:t>
            </w:r>
            <w:r w:rsidRPr="0033178A">
              <w:rPr>
                <w:sz w:val="18"/>
                <w:szCs w:val="18"/>
              </w:rPr>
              <w:t xml:space="preserve"> της Τράπεζας </w:t>
            </w:r>
            <w:r w:rsidR="005E31DD">
              <w:rPr>
                <w:sz w:val="18"/>
                <w:szCs w:val="18"/>
              </w:rPr>
              <w:t xml:space="preserve">κατά την </w:t>
            </w:r>
            <w:r w:rsidRPr="0033178A">
              <w:rPr>
                <w:sz w:val="18"/>
                <w:szCs w:val="18"/>
              </w:rPr>
              <w:t>περίοδο</w:t>
            </w:r>
            <w:r w:rsidR="005E31DD">
              <w:rPr>
                <w:sz w:val="18"/>
                <w:szCs w:val="18"/>
              </w:rPr>
              <w:t xml:space="preserve"> του </w:t>
            </w:r>
            <w:r w:rsidR="005E31DD">
              <w:rPr>
                <w:sz w:val="18"/>
                <w:szCs w:val="18"/>
                <w:lang w:val="en-US"/>
              </w:rPr>
              <w:t>lockdown</w:t>
            </w:r>
            <w:r w:rsidRPr="0033178A">
              <w:rPr>
                <w:sz w:val="18"/>
                <w:szCs w:val="18"/>
              </w:rPr>
              <w:t xml:space="preserve">. </w:t>
            </w:r>
          </w:p>
          <w:p w:rsidR="0033178A" w:rsidRDefault="0033178A" w:rsidP="007D0DAE">
            <w:pPr>
              <w:jc w:val="both"/>
              <w:rPr>
                <w:rFonts w:cs="Calibri"/>
                <w:sz w:val="18"/>
                <w:szCs w:val="18"/>
              </w:rPr>
            </w:pPr>
          </w:p>
          <w:p w:rsidR="00982391" w:rsidRPr="001C793F" w:rsidRDefault="00982391" w:rsidP="0033178A">
            <w:pPr>
              <w:jc w:val="both"/>
              <w:rPr>
                <w:rFonts w:cs="Calibri"/>
                <w:sz w:val="18"/>
                <w:szCs w:val="18"/>
              </w:rPr>
            </w:pPr>
          </w:p>
        </w:tc>
      </w:tr>
    </w:tbl>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B641BC" w:rsidRDefault="00B641BC" w:rsidP="00E47ECD">
      <w:pPr>
        <w:spacing w:after="0" w:line="240" w:lineRule="auto"/>
        <w:rPr>
          <w:rFonts w:ascii="Calibri" w:eastAsia="Calibri" w:hAnsi="Calibri" w:cs="Calibri"/>
          <w:b/>
          <w:bCs/>
          <w:color w:val="6691AB"/>
          <w:sz w:val="28"/>
          <w:szCs w:val="28"/>
        </w:rPr>
      </w:pPr>
    </w:p>
    <w:p w:rsidR="00F813CF" w:rsidRPr="005E31DD" w:rsidRDefault="00F813CF">
      <w:pPr>
        <w:rPr>
          <w:rFonts w:ascii="Calibri" w:eastAsia="Calibri" w:hAnsi="Calibri" w:cs="Calibri"/>
          <w:b/>
          <w:bCs/>
          <w:color w:val="6691AB"/>
          <w:sz w:val="28"/>
          <w:szCs w:val="28"/>
        </w:rPr>
      </w:pPr>
      <w:r w:rsidRPr="005E31DD">
        <w:rPr>
          <w:rFonts w:ascii="Calibri" w:eastAsia="Calibri" w:hAnsi="Calibri" w:cs="Calibri"/>
          <w:b/>
          <w:bCs/>
          <w:color w:val="6691AB"/>
          <w:sz w:val="28"/>
          <w:szCs w:val="28"/>
        </w:rPr>
        <w:br w:type="page"/>
      </w:r>
    </w:p>
    <w:p w:rsidR="00E47ECD" w:rsidRPr="00CF1890" w:rsidRDefault="00CF1890" w:rsidP="00B641BC">
      <w:pPr>
        <w:spacing w:after="0" w:line="240" w:lineRule="auto"/>
        <w:ind w:left="-284" w:right="-143"/>
        <w:rPr>
          <w:rFonts w:ascii="Calibri" w:eastAsia="Calibri" w:hAnsi="Calibri" w:cs="Calibri"/>
          <w:b/>
          <w:bCs/>
          <w:color w:val="6691AB"/>
          <w:sz w:val="28"/>
          <w:szCs w:val="28"/>
        </w:rPr>
      </w:pPr>
      <w:r w:rsidRPr="00A215FB">
        <w:rPr>
          <w:rFonts w:ascii="Calibri" w:eastAsia="Calibri" w:hAnsi="Calibri" w:cs="Calibri"/>
          <w:b/>
          <w:bCs/>
          <w:color w:val="6691AB"/>
          <w:sz w:val="28"/>
          <w:szCs w:val="28"/>
          <w:lang w:val="en-US"/>
        </w:rPr>
        <w:lastRenderedPageBreak/>
        <w:t>Hive</w:t>
      </w:r>
      <w:r w:rsidRPr="00A215FB">
        <w:rPr>
          <w:rFonts w:ascii="Calibri" w:eastAsia="Calibri" w:hAnsi="Calibri" w:cs="Calibri"/>
          <w:b/>
          <w:bCs/>
          <w:color w:val="6691AB"/>
          <w:sz w:val="28"/>
          <w:szCs w:val="28"/>
        </w:rPr>
        <w:t>-</w:t>
      </w:r>
      <w:r w:rsidRPr="00A215FB">
        <w:rPr>
          <w:rFonts w:ascii="Calibri" w:eastAsia="Calibri" w:hAnsi="Calibri" w:cs="Calibri"/>
          <w:b/>
          <w:bCs/>
          <w:color w:val="6691AB"/>
          <w:sz w:val="28"/>
          <w:szCs w:val="28"/>
          <w:lang w:val="en-US"/>
        </w:rPr>
        <w:t>Down</w:t>
      </w:r>
    </w:p>
    <w:p w:rsidR="008D5D7E" w:rsidRPr="00B641BC" w:rsidRDefault="008D5D7E" w:rsidP="00B641BC">
      <w:pPr>
        <w:spacing w:after="120" w:line="240" w:lineRule="auto"/>
        <w:ind w:left="-284" w:right="-143"/>
        <w:rPr>
          <w:rFonts w:ascii="Calibri" w:eastAsia="Calibri" w:hAnsi="Calibri" w:cs="Calibri"/>
          <w:b/>
          <w:bCs/>
          <w:color w:val="44546A"/>
          <w:sz w:val="10"/>
          <w:szCs w:val="28"/>
        </w:rPr>
      </w:pPr>
    </w:p>
    <w:p w:rsidR="008D5D7E" w:rsidRPr="008D5D7E" w:rsidRDefault="008D5D7E" w:rsidP="00B641BC">
      <w:pPr>
        <w:spacing w:after="120" w:line="259" w:lineRule="auto"/>
        <w:ind w:left="-284" w:right="-143"/>
        <w:jc w:val="both"/>
        <w:rPr>
          <w:rFonts w:ascii="Calibri" w:eastAsia="Calibri" w:hAnsi="Calibri" w:cs="Calibri"/>
          <w:sz w:val="18"/>
          <w:szCs w:val="18"/>
        </w:rPr>
      </w:pPr>
      <w:r w:rsidRPr="008D5D7E">
        <w:rPr>
          <w:rFonts w:ascii="Calibri" w:eastAsia="Calibri" w:hAnsi="Calibri" w:cs="Calibri"/>
          <w:sz w:val="18"/>
          <w:szCs w:val="18"/>
        </w:rPr>
        <w:t>Η Διοίκηση της Τράπεζας Πειραιώς προχωρά επιμελώς στο σχέδιο εταιρικού μετασχηματισμού που ανακοίνωσε στην επενδυτική κοινότητα στις 3 Φεβρουαρίου 2020, έχοντας τη σύμφωνη γνώμη του Διοικητικού Συμβουλίου, με στόχο να βελτιστοποιήσει την αποτελεσματικότητα και να διευκολύνει τη στρατηγική της Τράπεζας για την εξυγίανση των στοιχείων ενεργητικού της.</w:t>
      </w:r>
    </w:p>
    <w:p w:rsidR="00582083" w:rsidRDefault="008D5D7E" w:rsidP="00582083">
      <w:pPr>
        <w:spacing w:after="120" w:line="259" w:lineRule="auto"/>
        <w:ind w:left="-284" w:right="-143"/>
        <w:jc w:val="both"/>
        <w:rPr>
          <w:rFonts w:ascii="Calibri" w:eastAsia="Calibri" w:hAnsi="Calibri" w:cs="Calibri"/>
          <w:sz w:val="18"/>
          <w:szCs w:val="18"/>
        </w:rPr>
      </w:pPr>
      <w:r w:rsidRPr="008D5D7E">
        <w:rPr>
          <w:rFonts w:ascii="Calibri" w:eastAsia="Calibri" w:hAnsi="Calibri" w:cs="Calibri"/>
          <w:sz w:val="18"/>
          <w:szCs w:val="18"/>
        </w:rPr>
        <w:t>Σύμφωνα με το σχέδιο μετασχηματισμού, οι τραπεζικές δραστηριότητες του Ομίλου θα αποσχισθούν σε μια νέα κατά 100% θυγατρική τράπεζα (“</w:t>
      </w:r>
      <w:proofErr w:type="spellStart"/>
      <w:r w:rsidRPr="008D5D7E">
        <w:rPr>
          <w:rFonts w:ascii="Calibri" w:eastAsia="Calibri" w:hAnsi="Calibri" w:cs="Calibri"/>
          <w:sz w:val="18"/>
          <w:szCs w:val="18"/>
          <w:lang w:val="en-US"/>
        </w:rPr>
        <w:t>NewCo</w:t>
      </w:r>
      <w:proofErr w:type="spellEnd"/>
      <w:r w:rsidRPr="008D5D7E">
        <w:rPr>
          <w:rFonts w:ascii="Calibri" w:eastAsia="Calibri" w:hAnsi="Calibri" w:cs="Calibri"/>
          <w:sz w:val="18"/>
          <w:szCs w:val="18"/>
        </w:rPr>
        <w:t>”), μαζί με τη συντριπτική πλειονότητα των στοιχείων του ενεργητικού και του παθητικού της Τράπεζας Πειραιώς, συμπεριλαμβανομένων των Αναβαλλόμενων Φορολογικών Απαιτήσεων έναντι του Ελληνικού Δημοσίου. Συγκεκριμένες μη τραπεζικές δραστηριότητες θα διατηρηθούν στη μητρική εταιρεία του Ομίλου (“</w:t>
      </w:r>
      <w:proofErr w:type="spellStart"/>
      <w:r w:rsidRPr="008D5D7E">
        <w:rPr>
          <w:rFonts w:ascii="Calibri" w:eastAsia="Calibri" w:hAnsi="Calibri" w:cs="Calibri"/>
          <w:sz w:val="18"/>
          <w:szCs w:val="18"/>
          <w:lang w:val="en-US"/>
        </w:rPr>
        <w:t>HoldCo</w:t>
      </w:r>
      <w:proofErr w:type="spellEnd"/>
      <w:r w:rsidRPr="008D5D7E">
        <w:rPr>
          <w:rFonts w:ascii="Calibri" w:eastAsia="Calibri" w:hAnsi="Calibri" w:cs="Calibri"/>
          <w:sz w:val="18"/>
          <w:szCs w:val="18"/>
        </w:rPr>
        <w:t xml:space="preserve">”), η οποία θα μετεξελιχθεί σε χρηματοδοτική εταιρεία συμμετοχών εισηγμένη στο Χρηματιστήριο Αθηνών. </w:t>
      </w:r>
    </w:p>
    <w:p w:rsidR="00582083" w:rsidRPr="00582083" w:rsidRDefault="008D5D7E" w:rsidP="00582083">
      <w:pPr>
        <w:spacing w:after="120" w:line="259" w:lineRule="auto"/>
        <w:ind w:left="-284" w:right="-143"/>
        <w:jc w:val="both"/>
        <w:rPr>
          <w:rFonts w:ascii="Calibri" w:eastAsia="Calibri" w:hAnsi="Calibri" w:cs="Calibri"/>
          <w:sz w:val="18"/>
          <w:szCs w:val="18"/>
        </w:rPr>
      </w:pPr>
      <w:r w:rsidRPr="008D5D7E">
        <w:rPr>
          <w:rFonts w:ascii="Calibri" w:eastAsia="Calibri" w:hAnsi="Calibri" w:cs="Calibri"/>
          <w:sz w:val="18"/>
          <w:szCs w:val="18"/>
        </w:rPr>
        <w:t xml:space="preserve">Η Διοίκηση της Τράπεζας αξιολογεί επί του παρόντος όλες τις επιλέξιμες μη τραπεζικές δραστηριότητες που θα παραμείνουν στην </w:t>
      </w:r>
      <w:proofErr w:type="spellStart"/>
      <w:r w:rsidRPr="00582083">
        <w:rPr>
          <w:rFonts w:ascii="Calibri" w:eastAsia="Calibri" w:hAnsi="Calibri" w:cs="Calibri"/>
          <w:sz w:val="18"/>
          <w:szCs w:val="18"/>
        </w:rPr>
        <w:t>HoldCo</w:t>
      </w:r>
      <w:proofErr w:type="spellEnd"/>
      <w:r w:rsidRPr="008D5D7E">
        <w:rPr>
          <w:rFonts w:ascii="Calibri" w:eastAsia="Calibri" w:hAnsi="Calibri" w:cs="Calibri"/>
          <w:sz w:val="18"/>
          <w:szCs w:val="18"/>
        </w:rPr>
        <w:t>, με στόχο τη διασφάλιση της αδιάλειπτης επιχειρησιακής συνέχειας, καθώς και των σχέσεων με εργαζόμενους και λοιπά ενδιαφερόμενα μέρη.</w:t>
      </w:r>
      <w:r w:rsidR="00582083" w:rsidRPr="00582083">
        <w:rPr>
          <w:rFonts w:ascii="Calibri" w:eastAsia="Calibri" w:hAnsi="Calibri" w:cs="Calibri"/>
          <w:sz w:val="18"/>
          <w:szCs w:val="18"/>
        </w:rPr>
        <w:t xml:space="preserve"> Σημειώνεται ότι θα διαφυλαχθούν πλήρως και μετά τον εταιρικό μετασχηματισμό, όλα τα ειδικά δικαιώματα που απολαμβάνει το ΤΧΣ σύμφωνα με τη σχετική νομοθεσία </w:t>
      </w:r>
      <w:r w:rsidR="00582083">
        <w:rPr>
          <w:rFonts w:ascii="Calibri" w:eastAsia="Calibri" w:hAnsi="Calibri" w:cs="Calibri"/>
          <w:sz w:val="18"/>
          <w:szCs w:val="18"/>
        </w:rPr>
        <w:t>και</w:t>
      </w:r>
      <w:r w:rsidR="00582083" w:rsidRPr="00582083">
        <w:rPr>
          <w:rFonts w:ascii="Calibri" w:eastAsia="Calibri" w:hAnsi="Calibri" w:cs="Calibri"/>
          <w:sz w:val="18"/>
          <w:szCs w:val="18"/>
        </w:rPr>
        <w:t xml:space="preserve"> </w:t>
      </w:r>
      <w:proofErr w:type="spellStart"/>
      <w:r w:rsidR="00582083" w:rsidRPr="00582083">
        <w:rPr>
          <w:rFonts w:ascii="Calibri" w:eastAsia="Calibri" w:hAnsi="Calibri" w:cs="Calibri"/>
          <w:sz w:val="18"/>
          <w:szCs w:val="18"/>
        </w:rPr>
        <w:t>to</w:t>
      </w:r>
      <w:proofErr w:type="spellEnd"/>
      <w:r w:rsidR="00582083" w:rsidRPr="00582083">
        <w:rPr>
          <w:rFonts w:ascii="Calibri" w:eastAsia="Calibri" w:hAnsi="Calibri" w:cs="Calibri"/>
          <w:sz w:val="18"/>
          <w:szCs w:val="18"/>
        </w:rPr>
        <w:t xml:space="preserve"> </w:t>
      </w:r>
      <w:proofErr w:type="spellStart"/>
      <w:r w:rsidR="00582083" w:rsidRPr="00582083">
        <w:rPr>
          <w:rFonts w:ascii="Calibri" w:eastAsia="Calibri" w:hAnsi="Calibri" w:cs="Calibri"/>
          <w:sz w:val="18"/>
          <w:szCs w:val="18"/>
        </w:rPr>
        <w:t>Relationship</w:t>
      </w:r>
      <w:proofErr w:type="spellEnd"/>
      <w:r w:rsidR="00582083" w:rsidRPr="00582083">
        <w:rPr>
          <w:rFonts w:ascii="Calibri" w:eastAsia="Calibri" w:hAnsi="Calibri" w:cs="Calibri"/>
          <w:sz w:val="18"/>
          <w:szCs w:val="18"/>
        </w:rPr>
        <w:t xml:space="preserve"> </w:t>
      </w:r>
      <w:proofErr w:type="spellStart"/>
      <w:r w:rsidR="00582083" w:rsidRPr="00582083">
        <w:rPr>
          <w:rFonts w:ascii="Calibri" w:eastAsia="Calibri" w:hAnsi="Calibri" w:cs="Calibri"/>
          <w:sz w:val="18"/>
          <w:szCs w:val="18"/>
        </w:rPr>
        <w:t>Framework</w:t>
      </w:r>
      <w:proofErr w:type="spellEnd"/>
      <w:r w:rsidR="00582083" w:rsidRPr="00582083">
        <w:rPr>
          <w:rFonts w:ascii="Calibri" w:eastAsia="Calibri" w:hAnsi="Calibri" w:cs="Calibri"/>
          <w:sz w:val="18"/>
          <w:szCs w:val="18"/>
        </w:rPr>
        <w:t xml:space="preserve"> Agreement. </w:t>
      </w:r>
    </w:p>
    <w:p w:rsidR="008D5D7E" w:rsidRPr="008D5D7E" w:rsidRDefault="008D5D7E" w:rsidP="00B641BC">
      <w:pPr>
        <w:spacing w:after="120" w:line="259" w:lineRule="auto"/>
        <w:ind w:left="-284" w:right="-143"/>
        <w:jc w:val="both"/>
        <w:rPr>
          <w:rFonts w:ascii="Calibri" w:eastAsia="Calibri" w:hAnsi="Calibri" w:cs="Calibri"/>
          <w:sz w:val="18"/>
          <w:szCs w:val="18"/>
        </w:rPr>
      </w:pPr>
      <w:r w:rsidRPr="008D5D7E">
        <w:rPr>
          <w:rFonts w:ascii="Calibri" w:eastAsia="Calibri" w:hAnsi="Calibri" w:cs="Calibri"/>
          <w:sz w:val="18"/>
          <w:szCs w:val="18"/>
        </w:rPr>
        <w:t xml:space="preserve">Παράλληλα, στο πλαίσιο της απόσχισης δραστηριοτήτων, η Τράπεζα πραγματοποιεί όλες τις απαραίτητες προετοιμασίες για την </w:t>
      </w:r>
      <w:proofErr w:type="spellStart"/>
      <w:r w:rsidRPr="008D5D7E">
        <w:rPr>
          <w:rFonts w:ascii="Calibri" w:eastAsia="Calibri" w:hAnsi="Calibri" w:cs="Calibri"/>
          <w:sz w:val="18"/>
          <w:szCs w:val="18"/>
        </w:rPr>
        <w:t>τιτλοποίηση</w:t>
      </w:r>
      <w:proofErr w:type="spellEnd"/>
      <w:r w:rsidRPr="008D5D7E">
        <w:rPr>
          <w:rFonts w:ascii="Calibri" w:eastAsia="Calibri" w:hAnsi="Calibri" w:cs="Calibri"/>
          <w:sz w:val="18"/>
          <w:szCs w:val="18"/>
        </w:rPr>
        <w:t xml:space="preserve"> Μη Εξυπηρετούμενων Ανοιγμάτων (</w:t>
      </w:r>
      <w:r w:rsidR="00A215FB">
        <w:rPr>
          <w:rFonts w:ascii="Calibri" w:eastAsia="Calibri" w:hAnsi="Calibri" w:cs="Calibri"/>
          <w:sz w:val="18"/>
          <w:szCs w:val="18"/>
        </w:rPr>
        <w:t>ΜΕΑ</w:t>
      </w:r>
      <w:r w:rsidRPr="008D5D7E">
        <w:rPr>
          <w:rFonts w:ascii="Calibri" w:eastAsia="Calibri" w:hAnsi="Calibri" w:cs="Calibri"/>
          <w:sz w:val="18"/>
          <w:szCs w:val="18"/>
        </w:rPr>
        <w:t xml:space="preserve">) Λογιστικής Αξίας προ Προβλέψεων ~€7 δισ., μέσω δύο </w:t>
      </w:r>
      <w:proofErr w:type="spellStart"/>
      <w:r w:rsidRPr="008D5D7E">
        <w:rPr>
          <w:rFonts w:ascii="Calibri" w:eastAsia="Calibri" w:hAnsi="Calibri" w:cs="Calibri"/>
          <w:sz w:val="18"/>
          <w:szCs w:val="18"/>
        </w:rPr>
        <w:t>χαρτοφυλακιών</w:t>
      </w:r>
      <w:proofErr w:type="spellEnd"/>
      <w:r w:rsidRPr="008D5D7E">
        <w:rPr>
          <w:rFonts w:ascii="Calibri" w:eastAsia="Calibri" w:hAnsi="Calibri" w:cs="Calibri"/>
          <w:sz w:val="18"/>
          <w:szCs w:val="18"/>
        </w:rPr>
        <w:t xml:space="preserve">, του </w:t>
      </w:r>
      <w:r w:rsidRPr="008D5D7E">
        <w:rPr>
          <w:rFonts w:ascii="Calibri" w:eastAsia="Calibri" w:hAnsi="Calibri" w:cs="Calibri"/>
          <w:sz w:val="18"/>
          <w:szCs w:val="18"/>
          <w:lang w:val="en-US"/>
        </w:rPr>
        <w:t>Phoenix</w:t>
      </w:r>
      <w:r w:rsidRPr="008D5D7E">
        <w:rPr>
          <w:rFonts w:ascii="Calibri" w:eastAsia="Calibri" w:hAnsi="Calibri" w:cs="Calibri"/>
          <w:sz w:val="18"/>
          <w:szCs w:val="18"/>
        </w:rPr>
        <w:t xml:space="preserve"> (~€2 δισ.) και του </w:t>
      </w:r>
      <w:r w:rsidRPr="008D5D7E">
        <w:rPr>
          <w:rFonts w:ascii="Calibri" w:eastAsia="Calibri" w:hAnsi="Calibri" w:cs="Calibri"/>
          <w:sz w:val="18"/>
          <w:szCs w:val="18"/>
          <w:lang w:val="en-US"/>
        </w:rPr>
        <w:t>Vega</w:t>
      </w:r>
      <w:r w:rsidRPr="008D5D7E">
        <w:rPr>
          <w:rFonts w:ascii="Calibri" w:eastAsia="Calibri" w:hAnsi="Calibri" w:cs="Calibri"/>
          <w:sz w:val="18"/>
          <w:szCs w:val="18"/>
        </w:rPr>
        <w:t xml:space="preserve"> (~€5 δισ.). Η δομή και των δύο </w:t>
      </w:r>
      <w:proofErr w:type="spellStart"/>
      <w:r w:rsidRPr="008D5D7E">
        <w:rPr>
          <w:rFonts w:ascii="Calibri" w:eastAsia="Calibri" w:hAnsi="Calibri" w:cs="Calibri"/>
          <w:sz w:val="18"/>
          <w:szCs w:val="18"/>
        </w:rPr>
        <w:t>τιτλοποιήσεων</w:t>
      </w:r>
      <w:proofErr w:type="spellEnd"/>
      <w:r w:rsidRPr="008D5D7E">
        <w:rPr>
          <w:rFonts w:ascii="Calibri" w:eastAsia="Calibri" w:hAnsi="Calibri" w:cs="Calibri"/>
          <w:sz w:val="18"/>
          <w:szCs w:val="18"/>
        </w:rPr>
        <w:t xml:space="preserve"> αναμένεται να έχει οριστικοποιηθεί στους επόμενους μήνες και να είναι επιλέξιμες για χρήση της εγγύησης του ελληνικού </w:t>
      </w:r>
      <w:r w:rsidR="00A215FB">
        <w:rPr>
          <w:rFonts w:ascii="Calibri" w:eastAsia="Calibri" w:hAnsi="Calibri" w:cs="Calibri"/>
          <w:sz w:val="18"/>
          <w:szCs w:val="18"/>
        </w:rPr>
        <w:t>Π</w:t>
      </w:r>
      <w:r w:rsidRPr="008D5D7E">
        <w:rPr>
          <w:rFonts w:ascii="Calibri" w:eastAsia="Calibri" w:hAnsi="Calibri" w:cs="Calibri"/>
          <w:sz w:val="18"/>
          <w:szCs w:val="18"/>
        </w:rPr>
        <w:t xml:space="preserve">ρογράμματος </w:t>
      </w:r>
      <w:r w:rsidR="00A215FB">
        <w:rPr>
          <w:rFonts w:ascii="Calibri" w:eastAsia="Calibri" w:hAnsi="Calibri" w:cs="Calibri"/>
          <w:sz w:val="18"/>
          <w:szCs w:val="18"/>
        </w:rPr>
        <w:t>Π</w:t>
      </w:r>
      <w:r w:rsidRPr="008D5D7E">
        <w:rPr>
          <w:rFonts w:ascii="Calibri" w:eastAsia="Calibri" w:hAnsi="Calibri" w:cs="Calibri"/>
          <w:sz w:val="18"/>
          <w:szCs w:val="18"/>
        </w:rPr>
        <w:t xml:space="preserve">ροστασίας </w:t>
      </w:r>
      <w:r w:rsidR="00A215FB">
        <w:rPr>
          <w:rFonts w:ascii="Calibri" w:eastAsia="Calibri" w:hAnsi="Calibri" w:cs="Calibri"/>
          <w:sz w:val="18"/>
          <w:szCs w:val="18"/>
        </w:rPr>
        <w:t>Ε</w:t>
      </w:r>
      <w:r w:rsidRPr="008D5D7E">
        <w:rPr>
          <w:rFonts w:ascii="Calibri" w:eastAsia="Calibri" w:hAnsi="Calibri" w:cs="Calibri"/>
          <w:sz w:val="18"/>
          <w:szCs w:val="18"/>
        </w:rPr>
        <w:t>νεργητικού (</w:t>
      </w:r>
      <w:r w:rsidRPr="008D5D7E">
        <w:rPr>
          <w:rFonts w:ascii="Calibri" w:eastAsia="Calibri" w:hAnsi="Calibri" w:cs="Calibri"/>
          <w:sz w:val="18"/>
          <w:szCs w:val="18"/>
          <w:lang w:val="en-US"/>
        </w:rPr>
        <w:t>HAPS</w:t>
      </w:r>
      <w:r w:rsidRPr="008D5D7E">
        <w:rPr>
          <w:rFonts w:ascii="Calibri" w:eastAsia="Calibri" w:hAnsi="Calibri" w:cs="Calibri"/>
          <w:sz w:val="18"/>
          <w:szCs w:val="18"/>
        </w:rPr>
        <w:t xml:space="preserve">), στοχεύοντας σε δυνητική λογιστική και εποπτική </w:t>
      </w:r>
      <w:proofErr w:type="spellStart"/>
      <w:r w:rsidRPr="008D5D7E">
        <w:rPr>
          <w:rFonts w:ascii="Calibri" w:eastAsia="Calibri" w:hAnsi="Calibri" w:cs="Calibri"/>
          <w:sz w:val="18"/>
          <w:szCs w:val="18"/>
        </w:rPr>
        <w:t>αποαναγνώριση</w:t>
      </w:r>
      <w:proofErr w:type="spellEnd"/>
      <w:r w:rsidRPr="008D5D7E">
        <w:rPr>
          <w:rFonts w:ascii="Calibri" w:eastAsia="Calibri" w:hAnsi="Calibri" w:cs="Calibri"/>
          <w:sz w:val="18"/>
          <w:szCs w:val="18"/>
        </w:rPr>
        <w:t xml:space="preserve"> των εν λόγω </w:t>
      </w:r>
      <w:r w:rsidR="00A215FB">
        <w:rPr>
          <w:rFonts w:ascii="Calibri" w:eastAsia="Calibri" w:hAnsi="Calibri" w:cs="Calibri"/>
          <w:sz w:val="18"/>
          <w:szCs w:val="18"/>
        </w:rPr>
        <w:t>ΜΕΑ</w:t>
      </w:r>
      <w:r w:rsidRPr="008D5D7E">
        <w:rPr>
          <w:rFonts w:ascii="Calibri" w:eastAsia="Calibri" w:hAnsi="Calibri" w:cs="Calibri"/>
          <w:sz w:val="18"/>
          <w:szCs w:val="18"/>
        </w:rPr>
        <w:t xml:space="preserve"> (Σημαντική Μεταφορά Κινδύνων). Αναφορικά με το χρονοδιάγραμμα, η </w:t>
      </w:r>
      <w:proofErr w:type="spellStart"/>
      <w:r w:rsidRPr="008D5D7E">
        <w:rPr>
          <w:rFonts w:ascii="Calibri" w:eastAsia="Calibri" w:hAnsi="Calibri" w:cs="Calibri"/>
          <w:sz w:val="18"/>
          <w:szCs w:val="18"/>
        </w:rPr>
        <w:t>τιτλοποίηση</w:t>
      </w:r>
      <w:proofErr w:type="spellEnd"/>
      <w:r w:rsidRPr="008D5D7E">
        <w:rPr>
          <w:rFonts w:ascii="Calibri" w:eastAsia="Calibri" w:hAnsi="Calibri" w:cs="Calibri"/>
          <w:sz w:val="18"/>
          <w:szCs w:val="18"/>
        </w:rPr>
        <w:t xml:space="preserve"> </w:t>
      </w:r>
      <w:r w:rsidRPr="008D5D7E">
        <w:rPr>
          <w:rFonts w:ascii="Calibri" w:eastAsia="Calibri" w:hAnsi="Calibri" w:cs="Calibri"/>
          <w:sz w:val="18"/>
          <w:szCs w:val="18"/>
          <w:lang w:val="en-US"/>
        </w:rPr>
        <w:t>Phoenix</w:t>
      </w:r>
      <w:r w:rsidRPr="008D5D7E">
        <w:rPr>
          <w:rFonts w:ascii="Calibri" w:eastAsia="Calibri" w:hAnsi="Calibri" w:cs="Calibri"/>
          <w:sz w:val="18"/>
          <w:szCs w:val="18"/>
        </w:rPr>
        <w:t xml:space="preserve"> βρίσκεται σε πιο προχωρημένο στάδιο, επομένως αναμένεται να ολοκληρωθεί νωρίτερα από το </w:t>
      </w:r>
      <w:r w:rsidRPr="008D5D7E">
        <w:rPr>
          <w:rFonts w:ascii="Calibri" w:eastAsia="Calibri" w:hAnsi="Calibri" w:cs="Calibri"/>
          <w:sz w:val="18"/>
          <w:szCs w:val="18"/>
          <w:lang w:val="en-US"/>
        </w:rPr>
        <w:t>Vega</w:t>
      </w:r>
      <w:r w:rsidRPr="008D5D7E">
        <w:rPr>
          <w:rFonts w:ascii="Calibri" w:eastAsia="Calibri" w:hAnsi="Calibri" w:cs="Calibri"/>
          <w:sz w:val="18"/>
          <w:szCs w:val="18"/>
        </w:rPr>
        <w:t xml:space="preserve">. Η </w:t>
      </w:r>
      <w:proofErr w:type="spellStart"/>
      <w:r w:rsidRPr="008D5D7E">
        <w:rPr>
          <w:rFonts w:ascii="Calibri" w:eastAsia="Calibri" w:hAnsi="Calibri" w:cs="Calibri"/>
          <w:sz w:val="18"/>
          <w:szCs w:val="18"/>
          <w:lang w:val="en-US"/>
        </w:rPr>
        <w:t>HoldCo</w:t>
      </w:r>
      <w:proofErr w:type="spellEnd"/>
      <w:r w:rsidRPr="008D5D7E">
        <w:rPr>
          <w:rFonts w:ascii="Calibri" w:eastAsia="Calibri" w:hAnsi="Calibri" w:cs="Calibri"/>
          <w:sz w:val="18"/>
          <w:szCs w:val="18"/>
        </w:rPr>
        <w:t xml:space="preserve"> θα </w:t>
      </w:r>
      <w:proofErr w:type="spellStart"/>
      <w:r w:rsidRPr="008D5D7E">
        <w:rPr>
          <w:rFonts w:ascii="Calibri" w:eastAsia="Calibri" w:hAnsi="Calibri" w:cs="Calibri"/>
          <w:sz w:val="18"/>
          <w:szCs w:val="18"/>
        </w:rPr>
        <w:t>διακρατήσει</w:t>
      </w:r>
      <w:proofErr w:type="spellEnd"/>
      <w:r w:rsidRPr="008D5D7E">
        <w:rPr>
          <w:rFonts w:ascii="Calibri" w:eastAsia="Calibri" w:hAnsi="Calibri" w:cs="Calibri"/>
          <w:sz w:val="18"/>
          <w:szCs w:val="18"/>
        </w:rPr>
        <w:t xml:space="preserve"> μέρος των τίτλων μειωμένης εξασφάλισης (</w:t>
      </w:r>
      <w:r w:rsidRPr="008D5D7E">
        <w:rPr>
          <w:rFonts w:ascii="Calibri" w:eastAsia="Calibri" w:hAnsi="Calibri" w:cs="Calibri"/>
          <w:sz w:val="18"/>
          <w:szCs w:val="18"/>
          <w:lang w:val="en-US"/>
        </w:rPr>
        <w:t>Junior</w:t>
      </w:r>
      <w:r w:rsidRPr="008D5D7E">
        <w:rPr>
          <w:rFonts w:ascii="Calibri" w:eastAsia="Calibri" w:hAnsi="Calibri" w:cs="Calibri"/>
          <w:sz w:val="18"/>
          <w:szCs w:val="18"/>
        </w:rPr>
        <w:t xml:space="preserve"> και </w:t>
      </w:r>
      <w:r w:rsidRPr="008D5D7E">
        <w:rPr>
          <w:rFonts w:ascii="Calibri" w:eastAsia="Calibri" w:hAnsi="Calibri" w:cs="Calibri"/>
          <w:sz w:val="18"/>
          <w:szCs w:val="18"/>
          <w:lang w:val="en-US"/>
        </w:rPr>
        <w:t>Mezzanine</w:t>
      </w:r>
      <w:r w:rsidRPr="008D5D7E">
        <w:rPr>
          <w:rFonts w:ascii="Calibri" w:eastAsia="Calibri" w:hAnsi="Calibri" w:cs="Calibri"/>
          <w:sz w:val="18"/>
          <w:szCs w:val="18"/>
        </w:rPr>
        <w:t xml:space="preserve">) που θα εκδοθούν στο πλαίσιο των προαναφερθεισών </w:t>
      </w:r>
      <w:proofErr w:type="spellStart"/>
      <w:r w:rsidRPr="008D5D7E">
        <w:rPr>
          <w:rFonts w:ascii="Calibri" w:eastAsia="Calibri" w:hAnsi="Calibri" w:cs="Calibri"/>
          <w:sz w:val="18"/>
          <w:szCs w:val="18"/>
        </w:rPr>
        <w:t>τιτλοποιήσεων</w:t>
      </w:r>
      <w:proofErr w:type="spellEnd"/>
      <w:r w:rsidRPr="008D5D7E">
        <w:rPr>
          <w:rFonts w:ascii="Calibri" w:eastAsia="Calibri" w:hAnsi="Calibri" w:cs="Calibri"/>
          <w:sz w:val="18"/>
          <w:szCs w:val="18"/>
        </w:rPr>
        <w:t xml:space="preserve">, που δεν θα υπερβαίνει το 95% της ονομαστικής τους αξίας. </w:t>
      </w:r>
    </w:p>
    <w:p w:rsidR="00A215FB" w:rsidRPr="008D5D7E" w:rsidRDefault="008D5D7E" w:rsidP="00A215FB">
      <w:pPr>
        <w:spacing w:after="120" w:line="259" w:lineRule="auto"/>
        <w:ind w:left="-284" w:right="-143"/>
        <w:jc w:val="both"/>
        <w:rPr>
          <w:rFonts w:ascii="Calibri" w:eastAsia="Calibri" w:hAnsi="Calibri" w:cs="Calibri"/>
          <w:sz w:val="18"/>
          <w:szCs w:val="18"/>
        </w:rPr>
      </w:pPr>
      <w:r w:rsidRPr="008D5D7E">
        <w:rPr>
          <w:rFonts w:ascii="Calibri" w:eastAsia="Calibri" w:hAnsi="Calibri" w:cs="Calibri"/>
          <w:sz w:val="18"/>
          <w:szCs w:val="18"/>
        </w:rPr>
        <w:t xml:space="preserve">Καθώς θα εξελίσσεται ο εταιρικός μετασχηματισμός, η </w:t>
      </w:r>
      <w:proofErr w:type="spellStart"/>
      <w:r w:rsidRPr="008D5D7E">
        <w:rPr>
          <w:rFonts w:ascii="Calibri" w:eastAsia="Calibri" w:hAnsi="Calibri" w:cs="Calibri"/>
          <w:sz w:val="18"/>
          <w:szCs w:val="18"/>
          <w:lang w:val="en-US"/>
        </w:rPr>
        <w:t>HoldCo</w:t>
      </w:r>
      <w:proofErr w:type="spellEnd"/>
      <w:r w:rsidRPr="008D5D7E">
        <w:rPr>
          <w:rFonts w:ascii="Calibri" w:eastAsia="Calibri" w:hAnsi="Calibri" w:cs="Calibri"/>
          <w:sz w:val="18"/>
          <w:szCs w:val="18"/>
        </w:rPr>
        <w:t xml:space="preserve"> θα αξιολογήσει όλες τις διαθέσιμες επιλογές για τη μεγιστοποίηση της αξίας των </w:t>
      </w:r>
      <w:proofErr w:type="spellStart"/>
      <w:r w:rsidRPr="008D5D7E">
        <w:rPr>
          <w:rFonts w:ascii="Calibri" w:eastAsia="Calibri" w:hAnsi="Calibri" w:cs="Calibri"/>
          <w:sz w:val="18"/>
          <w:szCs w:val="18"/>
        </w:rPr>
        <w:t>διακρατούμενων</w:t>
      </w:r>
      <w:proofErr w:type="spellEnd"/>
      <w:r w:rsidRPr="008D5D7E">
        <w:rPr>
          <w:rFonts w:ascii="Calibri" w:eastAsia="Calibri" w:hAnsi="Calibri" w:cs="Calibri"/>
          <w:sz w:val="18"/>
          <w:szCs w:val="18"/>
        </w:rPr>
        <w:t xml:space="preserve"> τίτλων μει</w:t>
      </w:r>
      <w:r w:rsidR="00CF1890">
        <w:rPr>
          <w:rFonts w:ascii="Calibri" w:eastAsia="Calibri" w:hAnsi="Calibri" w:cs="Calibri"/>
          <w:sz w:val="18"/>
          <w:szCs w:val="18"/>
        </w:rPr>
        <w:t>ωμένης εξασφάλισης</w:t>
      </w:r>
      <w:r w:rsidRPr="008D5D7E">
        <w:rPr>
          <w:rFonts w:ascii="Calibri" w:eastAsia="Calibri" w:hAnsi="Calibri" w:cs="Calibri"/>
          <w:sz w:val="18"/>
          <w:szCs w:val="18"/>
        </w:rPr>
        <w:t xml:space="preserve">. Η </w:t>
      </w:r>
      <w:proofErr w:type="spellStart"/>
      <w:r w:rsidRPr="008D5D7E">
        <w:rPr>
          <w:rFonts w:ascii="Calibri" w:eastAsia="Calibri" w:hAnsi="Calibri" w:cs="Calibri"/>
          <w:sz w:val="18"/>
          <w:szCs w:val="18"/>
          <w:lang w:val="en-US"/>
        </w:rPr>
        <w:t>NewCo</w:t>
      </w:r>
      <w:proofErr w:type="spellEnd"/>
      <w:r w:rsidRPr="008D5D7E">
        <w:rPr>
          <w:rFonts w:ascii="Calibri" w:eastAsia="Calibri" w:hAnsi="Calibri" w:cs="Calibri"/>
          <w:sz w:val="18"/>
          <w:szCs w:val="18"/>
        </w:rPr>
        <w:t xml:space="preserve"> θα </w:t>
      </w:r>
      <w:proofErr w:type="spellStart"/>
      <w:r w:rsidRPr="008D5D7E">
        <w:rPr>
          <w:rFonts w:ascii="Calibri" w:eastAsia="Calibri" w:hAnsi="Calibri" w:cs="Calibri"/>
          <w:sz w:val="18"/>
          <w:szCs w:val="18"/>
        </w:rPr>
        <w:t>διακρατήσει</w:t>
      </w:r>
      <w:proofErr w:type="spellEnd"/>
      <w:r w:rsidRPr="008D5D7E">
        <w:rPr>
          <w:rFonts w:ascii="Calibri" w:eastAsia="Calibri" w:hAnsi="Calibri" w:cs="Calibri"/>
          <w:sz w:val="18"/>
          <w:szCs w:val="18"/>
        </w:rPr>
        <w:t xml:space="preserve"> τους τίτλους υψηλής εξασφάλισης και τουλάχιστον 5% των τίτλων μειωμένης εξασφάλισης. Βάσει του αρχικού χρονοδιαγράμματος του εταιρικού μετασχηματισμού, ο ισολογισμός μετασχηματισμού αναμένεται να έχει εγκριθεί από το Διοικητικό Συμβούλιο στα μέσα του 3ου 3μήνου 2020.</w:t>
      </w:r>
      <w:r w:rsidR="00290D73">
        <w:rPr>
          <w:rFonts w:ascii="Calibri" w:eastAsia="Calibri" w:hAnsi="Calibri" w:cs="Calibri"/>
          <w:sz w:val="18"/>
          <w:szCs w:val="18"/>
        </w:rPr>
        <w:t xml:space="preserve"> </w:t>
      </w:r>
      <w:r w:rsidR="00A215FB" w:rsidRPr="008D5D7E">
        <w:rPr>
          <w:rFonts w:ascii="Calibri" w:eastAsia="Calibri" w:hAnsi="Calibri" w:cs="Calibri"/>
          <w:sz w:val="18"/>
          <w:szCs w:val="18"/>
        </w:rPr>
        <w:t xml:space="preserve">Το σχέδιο εταιρικού μετασχηματισμού, το οποίο υπόκειται στις σχετικές εποπτικές και άλλες εγκρίσεις, περιλαμβανομένης της συγκατάθεσης του ΤΧΣ, </w:t>
      </w:r>
      <w:proofErr w:type="spellStart"/>
      <w:r w:rsidR="00A215FB" w:rsidRPr="008D5D7E">
        <w:rPr>
          <w:rFonts w:ascii="Calibri" w:eastAsia="Calibri" w:hAnsi="Calibri" w:cs="Calibri"/>
          <w:sz w:val="18"/>
          <w:szCs w:val="18"/>
        </w:rPr>
        <w:t>στοχεύεται</w:t>
      </w:r>
      <w:proofErr w:type="spellEnd"/>
      <w:r w:rsidR="00A215FB" w:rsidRPr="008D5D7E">
        <w:rPr>
          <w:rFonts w:ascii="Calibri" w:eastAsia="Calibri" w:hAnsi="Calibri" w:cs="Calibri"/>
          <w:sz w:val="18"/>
          <w:szCs w:val="18"/>
        </w:rPr>
        <w:t xml:space="preserve"> να εγκριθεί από έκτακτη γενική συνέλευση των μετόχων πριν το τέλος του τρέχοντος έτους.</w:t>
      </w:r>
    </w:p>
    <w:p w:rsidR="00A215FB" w:rsidRPr="00290D73" w:rsidRDefault="00A215FB" w:rsidP="00290D73">
      <w:pPr>
        <w:spacing w:after="60" w:line="259" w:lineRule="auto"/>
        <w:ind w:left="-284" w:right="-142"/>
        <w:jc w:val="both"/>
        <w:rPr>
          <w:rFonts w:ascii="Calibri" w:eastAsia="Calibri" w:hAnsi="Calibri" w:cs="Calibri"/>
          <w:sz w:val="10"/>
          <w:szCs w:val="10"/>
        </w:rPr>
      </w:pPr>
    </w:p>
    <w:p w:rsidR="00A215FB" w:rsidRPr="00160EE7" w:rsidRDefault="00A215FB" w:rsidP="00A215FB">
      <w:pPr>
        <w:spacing w:after="0" w:line="240" w:lineRule="auto"/>
        <w:ind w:left="-284" w:right="-143"/>
        <w:rPr>
          <w:rFonts w:ascii="Calibri" w:eastAsia="Calibri" w:hAnsi="Calibri" w:cs="Calibri"/>
          <w:b/>
          <w:bCs/>
          <w:color w:val="6691AB"/>
          <w:sz w:val="28"/>
          <w:szCs w:val="28"/>
        </w:rPr>
      </w:pPr>
      <w:r w:rsidRPr="00160EE7">
        <w:rPr>
          <w:rFonts w:ascii="Calibri" w:eastAsia="Calibri" w:hAnsi="Calibri" w:cs="Calibri"/>
          <w:b/>
          <w:bCs/>
          <w:color w:val="6691AB"/>
          <w:sz w:val="28"/>
          <w:szCs w:val="28"/>
        </w:rPr>
        <w:t>Νέος Εταιρικός Μετασχηματισμός</w:t>
      </w:r>
    </w:p>
    <w:p w:rsidR="00E4598E" w:rsidRDefault="008D5D7E" w:rsidP="00290D73">
      <w:pPr>
        <w:spacing w:after="60" w:line="259" w:lineRule="auto"/>
        <w:ind w:left="-284" w:right="-142"/>
        <w:jc w:val="both"/>
        <w:rPr>
          <w:rFonts w:ascii="Calibri" w:eastAsia="Calibri" w:hAnsi="Calibri" w:cs="Calibri"/>
          <w:sz w:val="18"/>
          <w:szCs w:val="18"/>
        </w:rPr>
      </w:pPr>
      <w:r w:rsidRPr="008D5D7E">
        <w:rPr>
          <w:rFonts w:ascii="Calibri" w:eastAsia="Calibri" w:hAnsi="Calibri" w:cs="Calibri"/>
          <w:sz w:val="18"/>
          <w:szCs w:val="18"/>
        </w:rPr>
        <w:t xml:space="preserve">Η επιτυχής υλοποίηση του σχεδίου εταιρικού μετασχηματισμού θα </w:t>
      </w:r>
      <w:r w:rsidR="008942F5">
        <w:rPr>
          <w:rFonts w:ascii="Calibri" w:eastAsia="Calibri" w:hAnsi="Calibri" w:cs="Calibri"/>
          <w:sz w:val="18"/>
          <w:szCs w:val="18"/>
        </w:rPr>
        <w:t>«</w:t>
      </w:r>
      <w:r w:rsidRPr="008D5D7E">
        <w:rPr>
          <w:rFonts w:ascii="Calibri" w:eastAsia="Calibri" w:hAnsi="Calibri" w:cs="Calibri"/>
          <w:sz w:val="18"/>
          <w:szCs w:val="18"/>
        </w:rPr>
        <w:t>ξεκλειδώσει</w:t>
      </w:r>
      <w:r w:rsidR="008942F5">
        <w:rPr>
          <w:rFonts w:ascii="Calibri" w:eastAsia="Calibri" w:hAnsi="Calibri" w:cs="Calibri"/>
          <w:sz w:val="18"/>
          <w:szCs w:val="18"/>
        </w:rPr>
        <w:t>»</w:t>
      </w:r>
      <w:r w:rsidRPr="008D5D7E">
        <w:rPr>
          <w:rFonts w:ascii="Calibri" w:eastAsia="Calibri" w:hAnsi="Calibri" w:cs="Calibri"/>
          <w:sz w:val="18"/>
          <w:szCs w:val="18"/>
        </w:rPr>
        <w:t xml:space="preserve"> μια σειρά στρατηγικών στόχων για την Τράπεζα Πειραιώς, παρέχοντας στη Διοίκηση της Τράπεζας στρατηγική εστίαση στις βασικές τραπεζικές δραστηριότητες, διευκολύνοντας τη στρατηγική </w:t>
      </w:r>
      <w:r w:rsidR="003A0441">
        <w:rPr>
          <w:rFonts w:ascii="Calibri" w:eastAsia="Calibri" w:hAnsi="Calibri" w:cs="Calibri"/>
          <w:sz w:val="18"/>
          <w:szCs w:val="18"/>
        </w:rPr>
        <w:t>εξυγίανσης ισολογισμού</w:t>
      </w:r>
      <w:r w:rsidRPr="008D5D7E">
        <w:rPr>
          <w:rFonts w:ascii="Calibri" w:eastAsia="Calibri" w:hAnsi="Calibri" w:cs="Calibri"/>
          <w:sz w:val="18"/>
          <w:szCs w:val="18"/>
        </w:rPr>
        <w:t>.</w:t>
      </w:r>
    </w:p>
    <w:p w:rsidR="000B7944" w:rsidRPr="000B7944" w:rsidRDefault="00E4598E" w:rsidP="00B641BC">
      <w:pPr>
        <w:spacing w:after="120" w:line="259" w:lineRule="auto"/>
        <w:ind w:left="-284" w:right="-143"/>
        <w:jc w:val="both"/>
        <w:rPr>
          <w:rFonts w:ascii="Calibri" w:eastAsia="Calibri" w:hAnsi="Calibri" w:cs="Calibri"/>
          <w:sz w:val="18"/>
          <w:szCs w:val="18"/>
        </w:rPr>
      </w:pPr>
      <w:r>
        <w:rPr>
          <w:rFonts w:ascii="Calibri" w:eastAsia="Calibri" w:hAnsi="Calibri" w:cs="Calibri"/>
          <w:sz w:val="18"/>
          <w:szCs w:val="18"/>
        </w:rPr>
        <w:t>Επιπρόσθετα</w:t>
      </w:r>
      <w:r w:rsidRPr="000B7944">
        <w:rPr>
          <w:rFonts w:ascii="Calibri" w:eastAsia="Calibri" w:hAnsi="Calibri" w:cs="Calibri"/>
          <w:sz w:val="18"/>
          <w:szCs w:val="18"/>
        </w:rPr>
        <w:t xml:space="preserve">, </w:t>
      </w:r>
      <w:r>
        <w:rPr>
          <w:rFonts w:ascii="Calibri" w:eastAsia="Calibri" w:hAnsi="Calibri" w:cs="Calibri"/>
          <w:sz w:val="18"/>
          <w:szCs w:val="18"/>
        </w:rPr>
        <w:t>η</w:t>
      </w:r>
      <w:r w:rsidRPr="000B7944">
        <w:rPr>
          <w:rFonts w:ascii="Calibri" w:eastAsia="Calibri" w:hAnsi="Calibri" w:cs="Calibri"/>
          <w:sz w:val="18"/>
          <w:szCs w:val="18"/>
        </w:rPr>
        <w:t xml:space="preserve"> </w:t>
      </w:r>
      <w:r>
        <w:rPr>
          <w:rFonts w:ascii="Calibri" w:eastAsia="Calibri" w:hAnsi="Calibri" w:cs="Calibri"/>
          <w:sz w:val="18"/>
          <w:szCs w:val="18"/>
        </w:rPr>
        <w:t>Τράπεζα</w:t>
      </w:r>
      <w:r w:rsidRPr="000B7944">
        <w:rPr>
          <w:rFonts w:ascii="Calibri" w:eastAsia="Calibri" w:hAnsi="Calibri" w:cs="Calibri"/>
          <w:sz w:val="18"/>
          <w:szCs w:val="18"/>
        </w:rPr>
        <w:t xml:space="preserve">, </w:t>
      </w:r>
      <w:r w:rsidR="000B7944" w:rsidRPr="000B7944">
        <w:rPr>
          <w:rFonts w:ascii="Calibri" w:eastAsia="Calibri" w:hAnsi="Calibri" w:cs="Calibri"/>
          <w:sz w:val="18"/>
          <w:szCs w:val="18"/>
        </w:rPr>
        <w:t>αξιοποιώντας την πρόοδο της περιόδου 2017-2019</w:t>
      </w:r>
      <w:r w:rsidRPr="000B7944">
        <w:rPr>
          <w:rFonts w:ascii="Calibri" w:eastAsia="Calibri" w:hAnsi="Calibri" w:cs="Calibri"/>
          <w:sz w:val="18"/>
          <w:szCs w:val="18"/>
        </w:rPr>
        <w:t xml:space="preserve">, </w:t>
      </w:r>
      <w:r w:rsidR="000B7944">
        <w:rPr>
          <w:rFonts w:ascii="Calibri" w:eastAsia="Calibri" w:hAnsi="Calibri" w:cs="Calibri"/>
          <w:sz w:val="18"/>
          <w:szCs w:val="18"/>
        </w:rPr>
        <w:t>βρίσκεται</w:t>
      </w:r>
      <w:r w:rsidR="000B7944" w:rsidRPr="000B7944">
        <w:rPr>
          <w:rFonts w:ascii="Calibri" w:eastAsia="Calibri" w:hAnsi="Calibri" w:cs="Calibri"/>
          <w:sz w:val="18"/>
          <w:szCs w:val="18"/>
        </w:rPr>
        <w:t xml:space="preserve"> </w:t>
      </w:r>
      <w:r w:rsidR="000B7944">
        <w:rPr>
          <w:rFonts w:ascii="Calibri" w:eastAsia="Calibri" w:hAnsi="Calibri" w:cs="Calibri"/>
          <w:sz w:val="18"/>
          <w:szCs w:val="18"/>
        </w:rPr>
        <w:t xml:space="preserve">επί του παρόντος </w:t>
      </w:r>
      <w:r w:rsidR="000B7944" w:rsidRPr="000B7944">
        <w:rPr>
          <w:rFonts w:ascii="Calibri" w:eastAsia="Calibri" w:hAnsi="Calibri" w:cs="Calibri"/>
          <w:sz w:val="18"/>
          <w:szCs w:val="18"/>
        </w:rPr>
        <w:t xml:space="preserve">στη φάση </w:t>
      </w:r>
      <w:r w:rsidR="000B7944">
        <w:rPr>
          <w:rFonts w:ascii="Calibri" w:eastAsia="Calibri" w:hAnsi="Calibri" w:cs="Calibri"/>
          <w:sz w:val="18"/>
          <w:szCs w:val="18"/>
        </w:rPr>
        <w:t>κατάρτισης ε</w:t>
      </w:r>
      <w:r w:rsidR="000B7944" w:rsidRPr="000B7944">
        <w:rPr>
          <w:rFonts w:ascii="Calibri" w:eastAsia="Calibri" w:hAnsi="Calibri" w:cs="Calibri"/>
          <w:sz w:val="18"/>
          <w:szCs w:val="18"/>
        </w:rPr>
        <w:t xml:space="preserve">νός νέου </w:t>
      </w:r>
      <w:r w:rsidR="000B7944">
        <w:rPr>
          <w:rFonts w:ascii="Calibri" w:eastAsia="Calibri" w:hAnsi="Calibri" w:cs="Calibri"/>
          <w:sz w:val="18"/>
          <w:szCs w:val="18"/>
        </w:rPr>
        <w:t xml:space="preserve">σχεδίου </w:t>
      </w:r>
      <w:r w:rsidR="000B7944" w:rsidRPr="000B7944">
        <w:rPr>
          <w:rFonts w:ascii="Calibri" w:eastAsia="Calibri" w:hAnsi="Calibri" w:cs="Calibri"/>
          <w:sz w:val="18"/>
          <w:szCs w:val="18"/>
        </w:rPr>
        <w:t>μετασχηματισμού για τα επόμενα 3</w:t>
      </w:r>
      <w:r w:rsidR="002E3FD4">
        <w:rPr>
          <w:rFonts w:ascii="Calibri" w:eastAsia="Calibri" w:hAnsi="Calibri" w:cs="Calibri"/>
          <w:sz w:val="18"/>
          <w:szCs w:val="18"/>
        </w:rPr>
        <w:t>-5</w:t>
      </w:r>
      <w:r w:rsidR="000B7944" w:rsidRPr="000B7944">
        <w:rPr>
          <w:rFonts w:ascii="Calibri" w:eastAsia="Calibri" w:hAnsi="Calibri" w:cs="Calibri"/>
          <w:sz w:val="18"/>
          <w:szCs w:val="18"/>
        </w:rPr>
        <w:t xml:space="preserve"> χρόνια.</w:t>
      </w:r>
    </w:p>
    <w:p w:rsidR="00E4598E" w:rsidRPr="00E02752" w:rsidRDefault="000B7944" w:rsidP="00B641BC">
      <w:pPr>
        <w:spacing w:after="120" w:line="259" w:lineRule="auto"/>
        <w:ind w:left="-284" w:right="-143"/>
        <w:jc w:val="both"/>
        <w:rPr>
          <w:rFonts w:ascii="Calibri" w:eastAsia="Calibri" w:hAnsi="Calibri" w:cs="Calibri"/>
          <w:sz w:val="18"/>
          <w:szCs w:val="18"/>
        </w:rPr>
      </w:pPr>
      <w:r>
        <w:rPr>
          <w:rFonts w:ascii="Calibri" w:eastAsia="Calibri" w:hAnsi="Calibri" w:cs="Calibri"/>
          <w:sz w:val="18"/>
          <w:szCs w:val="18"/>
        </w:rPr>
        <w:t>Οι βασικοί στόχοι του σχεδίου είναι</w:t>
      </w:r>
      <w:r w:rsidR="00E4598E" w:rsidRPr="00E02752">
        <w:rPr>
          <w:rFonts w:ascii="Calibri" w:eastAsia="Calibri" w:hAnsi="Calibri" w:cs="Calibri"/>
          <w:sz w:val="18"/>
          <w:szCs w:val="18"/>
        </w:rPr>
        <w:t>:</w:t>
      </w:r>
    </w:p>
    <w:p w:rsidR="00E02752" w:rsidRPr="00E02752" w:rsidRDefault="003A0441" w:rsidP="00177722">
      <w:pPr>
        <w:pStyle w:val="ListParagraph"/>
        <w:numPr>
          <w:ilvl w:val="0"/>
          <w:numId w:val="22"/>
        </w:numPr>
        <w:spacing w:after="120" w:line="259" w:lineRule="auto"/>
        <w:ind w:left="0" w:right="-143" w:hanging="284"/>
        <w:jc w:val="both"/>
        <w:rPr>
          <w:rFonts w:ascii="Calibri" w:eastAsia="Calibri" w:hAnsi="Calibri" w:cs="Calibri"/>
          <w:sz w:val="18"/>
          <w:szCs w:val="18"/>
          <w:lang w:val="el-GR"/>
        </w:rPr>
      </w:pPr>
      <w:r>
        <w:rPr>
          <w:sz w:val="18"/>
          <w:szCs w:val="20"/>
          <w:lang w:val="el-GR"/>
        </w:rPr>
        <w:t>Να α</w:t>
      </w:r>
      <w:r w:rsidR="00E02752" w:rsidRPr="00E02752">
        <w:rPr>
          <w:sz w:val="18"/>
          <w:szCs w:val="20"/>
          <w:lang w:val="el-GR"/>
        </w:rPr>
        <w:t>ναβ</w:t>
      </w:r>
      <w:r>
        <w:rPr>
          <w:sz w:val="18"/>
          <w:szCs w:val="20"/>
          <w:lang w:val="el-GR"/>
        </w:rPr>
        <w:t>αθμιστεί η</w:t>
      </w:r>
      <w:r w:rsidR="00E02752" w:rsidRPr="00E02752">
        <w:rPr>
          <w:sz w:val="18"/>
          <w:szCs w:val="20"/>
          <w:lang w:val="el-GR"/>
        </w:rPr>
        <w:t xml:space="preserve"> εμπορική</w:t>
      </w:r>
      <w:r>
        <w:rPr>
          <w:sz w:val="18"/>
          <w:szCs w:val="20"/>
          <w:lang w:val="el-GR"/>
        </w:rPr>
        <w:t xml:space="preserve"> προσφορά</w:t>
      </w:r>
      <w:r w:rsidR="00E02752" w:rsidRPr="00E02752">
        <w:rPr>
          <w:sz w:val="18"/>
          <w:szCs w:val="20"/>
          <w:lang w:val="el-GR"/>
        </w:rPr>
        <w:t xml:space="preserve"> της Τράπεζας, </w:t>
      </w:r>
      <w:r w:rsidR="00E02752">
        <w:rPr>
          <w:sz w:val="18"/>
          <w:szCs w:val="20"/>
          <w:lang w:val="el-GR"/>
        </w:rPr>
        <w:t xml:space="preserve">ενισχύοντας </w:t>
      </w:r>
      <w:r w:rsidR="00E02752" w:rsidRPr="00E02752">
        <w:rPr>
          <w:sz w:val="18"/>
          <w:szCs w:val="20"/>
          <w:lang w:val="el-GR"/>
        </w:rPr>
        <w:t>τ</w:t>
      </w:r>
      <w:r w:rsidR="00E02752">
        <w:rPr>
          <w:sz w:val="18"/>
          <w:szCs w:val="20"/>
          <w:lang w:val="el-GR"/>
        </w:rPr>
        <w:t>ις</w:t>
      </w:r>
      <w:r w:rsidR="00E02752" w:rsidRPr="00E02752">
        <w:rPr>
          <w:sz w:val="18"/>
          <w:szCs w:val="20"/>
          <w:lang w:val="el-GR"/>
        </w:rPr>
        <w:t xml:space="preserve"> νέ</w:t>
      </w:r>
      <w:r w:rsidR="00E02752">
        <w:rPr>
          <w:sz w:val="18"/>
          <w:szCs w:val="20"/>
          <w:lang w:val="el-GR"/>
        </w:rPr>
        <w:t>ες</w:t>
      </w:r>
      <w:r w:rsidR="00E02752" w:rsidRPr="00E02752">
        <w:rPr>
          <w:sz w:val="18"/>
          <w:szCs w:val="20"/>
          <w:lang w:val="el-GR"/>
        </w:rPr>
        <w:t xml:space="preserve"> </w:t>
      </w:r>
      <w:r>
        <w:rPr>
          <w:sz w:val="18"/>
          <w:szCs w:val="20"/>
          <w:lang w:val="el-GR"/>
        </w:rPr>
        <w:t>τραπεζικές εργασίες</w:t>
      </w:r>
      <w:r w:rsidR="00E02752" w:rsidRPr="00E02752">
        <w:rPr>
          <w:sz w:val="18"/>
          <w:szCs w:val="20"/>
          <w:lang w:val="el-GR"/>
        </w:rPr>
        <w:t xml:space="preserve"> μέσω της </w:t>
      </w:r>
      <w:r>
        <w:rPr>
          <w:sz w:val="18"/>
          <w:szCs w:val="20"/>
          <w:lang w:val="el-GR"/>
        </w:rPr>
        <w:t xml:space="preserve">παροχής </w:t>
      </w:r>
      <w:r w:rsidR="00E02752" w:rsidRPr="00E02752">
        <w:rPr>
          <w:sz w:val="18"/>
          <w:szCs w:val="20"/>
          <w:lang w:val="el-GR"/>
        </w:rPr>
        <w:t>ψηφιακ</w:t>
      </w:r>
      <w:r>
        <w:rPr>
          <w:sz w:val="18"/>
          <w:szCs w:val="20"/>
          <w:lang w:val="el-GR"/>
        </w:rPr>
        <w:t>ών υπηρεσιών</w:t>
      </w:r>
      <w:r w:rsidR="00BA3EE8">
        <w:rPr>
          <w:sz w:val="18"/>
          <w:szCs w:val="20"/>
          <w:lang w:val="el-GR"/>
        </w:rPr>
        <w:t xml:space="preserve"> </w:t>
      </w:r>
      <w:r w:rsidR="00E02752" w:rsidRPr="00E02752">
        <w:rPr>
          <w:sz w:val="18"/>
          <w:szCs w:val="20"/>
          <w:lang w:val="el-GR"/>
        </w:rPr>
        <w:t xml:space="preserve">και αυτοματισμού, </w:t>
      </w:r>
      <w:r>
        <w:rPr>
          <w:sz w:val="18"/>
          <w:szCs w:val="20"/>
          <w:lang w:val="el-GR"/>
        </w:rPr>
        <w:t>υποστηρίζοντας</w:t>
      </w:r>
      <w:r w:rsidR="00E02752">
        <w:rPr>
          <w:sz w:val="18"/>
          <w:szCs w:val="20"/>
          <w:lang w:val="el-GR"/>
        </w:rPr>
        <w:t xml:space="preserve"> </w:t>
      </w:r>
      <w:r w:rsidR="00E02752" w:rsidRPr="00E02752">
        <w:rPr>
          <w:sz w:val="18"/>
          <w:szCs w:val="20"/>
          <w:lang w:val="el-GR"/>
        </w:rPr>
        <w:t>πλήρ</w:t>
      </w:r>
      <w:r w:rsidR="00E02752">
        <w:rPr>
          <w:sz w:val="18"/>
          <w:szCs w:val="20"/>
          <w:lang w:val="el-GR"/>
        </w:rPr>
        <w:t>ως τις επιχειρήσεις υψηλ</w:t>
      </w:r>
      <w:r>
        <w:rPr>
          <w:sz w:val="18"/>
          <w:szCs w:val="20"/>
          <w:lang w:val="el-GR"/>
        </w:rPr>
        <w:t>ών</w:t>
      </w:r>
      <w:r w:rsidR="00E02752">
        <w:rPr>
          <w:sz w:val="18"/>
          <w:szCs w:val="20"/>
          <w:lang w:val="el-GR"/>
        </w:rPr>
        <w:t xml:space="preserve"> δυναμικής</w:t>
      </w:r>
      <w:r>
        <w:rPr>
          <w:sz w:val="18"/>
          <w:szCs w:val="20"/>
          <w:lang w:val="el-GR"/>
        </w:rPr>
        <w:t xml:space="preserve"> και </w:t>
      </w:r>
      <w:proofErr w:type="spellStart"/>
      <w:r>
        <w:rPr>
          <w:sz w:val="18"/>
          <w:szCs w:val="20"/>
          <w:lang w:val="el-GR"/>
        </w:rPr>
        <w:t>προποπτικών</w:t>
      </w:r>
      <w:proofErr w:type="spellEnd"/>
      <w:r>
        <w:rPr>
          <w:sz w:val="18"/>
          <w:szCs w:val="20"/>
          <w:lang w:val="el-GR"/>
        </w:rPr>
        <w:t>.</w:t>
      </w:r>
    </w:p>
    <w:p w:rsidR="00E02752" w:rsidRPr="008A6F65" w:rsidRDefault="00E02752" w:rsidP="00177722">
      <w:pPr>
        <w:pStyle w:val="ListParagraph"/>
        <w:numPr>
          <w:ilvl w:val="0"/>
          <w:numId w:val="22"/>
        </w:numPr>
        <w:spacing w:after="120" w:line="259" w:lineRule="auto"/>
        <w:ind w:left="0" w:right="-143" w:hanging="284"/>
        <w:jc w:val="both"/>
        <w:rPr>
          <w:rFonts w:ascii="Calibri" w:eastAsia="Calibri" w:hAnsi="Calibri" w:cs="Calibri"/>
          <w:sz w:val="18"/>
          <w:szCs w:val="18"/>
          <w:lang w:val="el-GR"/>
        </w:rPr>
      </w:pPr>
      <w:r>
        <w:rPr>
          <w:sz w:val="18"/>
          <w:szCs w:val="20"/>
          <w:lang w:val="el-GR"/>
        </w:rPr>
        <w:t>Ν</w:t>
      </w:r>
      <w:r w:rsidRPr="00E02752">
        <w:rPr>
          <w:sz w:val="18"/>
          <w:szCs w:val="20"/>
          <w:lang w:val="el-GR"/>
        </w:rPr>
        <w:t xml:space="preserve">α γίνει η </w:t>
      </w:r>
      <w:r w:rsidR="00825AC5">
        <w:rPr>
          <w:sz w:val="18"/>
          <w:szCs w:val="20"/>
          <w:lang w:val="el-GR"/>
        </w:rPr>
        <w:t>Πειραιώς η τ</w:t>
      </w:r>
      <w:r w:rsidRPr="00E02752">
        <w:rPr>
          <w:sz w:val="18"/>
          <w:szCs w:val="20"/>
          <w:lang w:val="el-GR"/>
        </w:rPr>
        <w:t xml:space="preserve">ράπεζα </w:t>
      </w:r>
      <w:r w:rsidR="00BA3EE8">
        <w:rPr>
          <w:sz w:val="18"/>
          <w:szCs w:val="20"/>
          <w:lang w:val="el-GR"/>
        </w:rPr>
        <w:t xml:space="preserve">πρώτης </w:t>
      </w:r>
      <w:r w:rsidRPr="00E02752">
        <w:rPr>
          <w:sz w:val="18"/>
          <w:szCs w:val="20"/>
          <w:lang w:val="el-GR"/>
        </w:rPr>
        <w:t>επιλογής</w:t>
      </w:r>
      <w:r w:rsidR="0064423E">
        <w:rPr>
          <w:sz w:val="18"/>
          <w:szCs w:val="20"/>
          <w:lang w:val="el-GR"/>
        </w:rPr>
        <w:t xml:space="preserve"> των πελατών</w:t>
      </w:r>
      <w:r w:rsidRPr="00E02752">
        <w:rPr>
          <w:sz w:val="18"/>
          <w:szCs w:val="20"/>
          <w:lang w:val="el-GR"/>
        </w:rPr>
        <w:t xml:space="preserve">, μέσω </w:t>
      </w:r>
      <w:proofErr w:type="spellStart"/>
      <w:r w:rsidRPr="00E02752">
        <w:rPr>
          <w:sz w:val="18"/>
          <w:szCs w:val="20"/>
          <w:lang w:val="el-GR"/>
        </w:rPr>
        <w:t>πελατοκεντρικής</w:t>
      </w:r>
      <w:proofErr w:type="spellEnd"/>
      <w:r w:rsidRPr="00E02752">
        <w:rPr>
          <w:sz w:val="18"/>
          <w:szCs w:val="20"/>
          <w:lang w:val="el-GR"/>
        </w:rPr>
        <w:t xml:space="preserve">, ψηφιακά πρωτοποριακής και </w:t>
      </w:r>
      <w:proofErr w:type="spellStart"/>
      <w:r w:rsidRPr="00E02752">
        <w:rPr>
          <w:sz w:val="18"/>
          <w:szCs w:val="20"/>
          <w:lang w:val="el-GR"/>
        </w:rPr>
        <w:t>στοχευμένης</w:t>
      </w:r>
      <w:proofErr w:type="spellEnd"/>
      <w:r w:rsidRPr="00E02752">
        <w:rPr>
          <w:sz w:val="18"/>
          <w:szCs w:val="20"/>
          <w:lang w:val="el-GR"/>
        </w:rPr>
        <w:t xml:space="preserve"> </w:t>
      </w:r>
      <w:r>
        <w:rPr>
          <w:sz w:val="18"/>
          <w:szCs w:val="20"/>
          <w:lang w:val="el-GR"/>
        </w:rPr>
        <w:t>πρότασης για τη δημιουργία αξίας</w:t>
      </w:r>
      <w:r w:rsidR="003A0441">
        <w:rPr>
          <w:sz w:val="18"/>
          <w:szCs w:val="20"/>
          <w:lang w:val="el-GR"/>
        </w:rPr>
        <w:t>.</w:t>
      </w:r>
    </w:p>
    <w:p w:rsidR="008A6F65" w:rsidRPr="00E02752" w:rsidRDefault="008A6F65" w:rsidP="00177722">
      <w:pPr>
        <w:pStyle w:val="ListParagraph"/>
        <w:numPr>
          <w:ilvl w:val="0"/>
          <w:numId w:val="22"/>
        </w:numPr>
        <w:spacing w:after="120" w:line="259" w:lineRule="auto"/>
        <w:ind w:left="0" w:right="-143" w:hanging="284"/>
        <w:jc w:val="both"/>
        <w:rPr>
          <w:rFonts w:ascii="Calibri" w:eastAsia="Calibri" w:hAnsi="Calibri" w:cs="Calibri"/>
          <w:sz w:val="18"/>
          <w:szCs w:val="18"/>
          <w:lang w:val="el-GR"/>
        </w:rPr>
      </w:pPr>
      <w:r>
        <w:rPr>
          <w:sz w:val="18"/>
          <w:szCs w:val="20"/>
          <w:lang w:val="el-GR"/>
        </w:rPr>
        <w:t>Ε</w:t>
      </w:r>
      <w:r w:rsidRPr="008A6F65">
        <w:rPr>
          <w:sz w:val="18"/>
          <w:szCs w:val="20"/>
          <w:lang w:val="el-GR"/>
        </w:rPr>
        <w:t xml:space="preserve">νίσχυση και ενδυνάμωση του ταλέντου της Τράπεζας μέσω ενός </w:t>
      </w:r>
      <w:r w:rsidR="008F2368">
        <w:rPr>
          <w:sz w:val="18"/>
          <w:szCs w:val="20"/>
          <w:lang w:val="el-GR"/>
        </w:rPr>
        <w:t>αποτελεσματικότερου</w:t>
      </w:r>
      <w:r>
        <w:rPr>
          <w:sz w:val="18"/>
          <w:szCs w:val="20"/>
          <w:lang w:val="el-GR"/>
        </w:rPr>
        <w:t xml:space="preserve"> προφίλ στελέχωσης</w:t>
      </w:r>
      <w:r w:rsidR="003A0441">
        <w:rPr>
          <w:sz w:val="18"/>
          <w:szCs w:val="20"/>
          <w:lang w:val="el-GR"/>
        </w:rPr>
        <w:t>.</w:t>
      </w:r>
    </w:p>
    <w:p w:rsidR="003A0441" w:rsidRPr="00567E8C" w:rsidRDefault="004F76E2" w:rsidP="008A2707">
      <w:pPr>
        <w:pStyle w:val="ListParagraph"/>
        <w:numPr>
          <w:ilvl w:val="0"/>
          <w:numId w:val="22"/>
        </w:numPr>
        <w:spacing w:after="120" w:line="259" w:lineRule="auto"/>
        <w:ind w:left="0" w:right="-143" w:hanging="284"/>
        <w:jc w:val="both"/>
        <w:rPr>
          <w:sz w:val="18"/>
          <w:szCs w:val="20"/>
          <w:lang w:val="el-GR"/>
        </w:rPr>
      </w:pPr>
      <w:r w:rsidRPr="00290D73">
        <w:rPr>
          <w:rFonts w:ascii="Calibri" w:eastAsia="Calibri" w:hAnsi="Calibri" w:cs="Calibri"/>
          <w:sz w:val="18"/>
          <w:szCs w:val="18"/>
          <w:lang w:val="el-GR"/>
        </w:rPr>
        <w:t xml:space="preserve">Προώθηση </w:t>
      </w:r>
      <w:r w:rsidRPr="00290D73">
        <w:rPr>
          <w:sz w:val="18"/>
          <w:szCs w:val="20"/>
          <w:lang w:val="el-GR"/>
        </w:rPr>
        <w:t xml:space="preserve">απλοποίησης και αυτοματισμών σε όλους τους τομείς για την επίτευξη </w:t>
      </w:r>
      <w:r w:rsidR="00825AC5" w:rsidRPr="00290D73">
        <w:rPr>
          <w:sz w:val="18"/>
          <w:szCs w:val="20"/>
          <w:lang w:val="el-GR"/>
        </w:rPr>
        <w:t>εξοικονόμησης</w:t>
      </w:r>
      <w:r w:rsidRPr="00290D73">
        <w:rPr>
          <w:sz w:val="18"/>
          <w:szCs w:val="20"/>
          <w:lang w:val="el-GR"/>
        </w:rPr>
        <w:t xml:space="preserve"> κόστους εξυπηρέτησης και απελευθέρωσης πόρων </w:t>
      </w:r>
      <w:r w:rsidR="008F2368" w:rsidRPr="00290D73">
        <w:rPr>
          <w:sz w:val="18"/>
          <w:szCs w:val="20"/>
          <w:lang w:val="el-GR"/>
        </w:rPr>
        <w:t>ώστε ν</w:t>
      </w:r>
      <w:r w:rsidRPr="00290D73">
        <w:rPr>
          <w:sz w:val="18"/>
          <w:szCs w:val="20"/>
          <w:lang w:val="el-GR"/>
        </w:rPr>
        <w:t>α δοθεί έμφαση στις εμπορικές δραστηριότητες</w:t>
      </w:r>
      <w:r w:rsidR="003A0441" w:rsidRPr="00290D73">
        <w:rPr>
          <w:sz w:val="18"/>
          <w:szCs w:val="20"/>
          <w:lang w:val="el-GR"/>
        </w:rPr>
        <w:t>.</w:t>
      </w:r>
      <w:r w:rsidR="003A0441" w:rsidRPr="00567E8C">
        <w:rPr>
          <w:sz w:val="18"/>
          <w:szCs w:val="20"/>
          <w:lang w:val="el-GR"/>
        </w:rPr>
        <w:br w:type="page"/>
      </w:r>
    </w:p>
    <w:p w:rsidR="004F76E2" w:rsidRPr="007F12AF" w:rsidRDefault="004F76E2" w:rsidP="003A0441">
      <w:pPr>
        <w:pStyle w:val="ListParagraph"/>
        <w:spacing w:after="120" w:line="259" w:lineRule="auto"/>
        <w:ind w:left="0" w:right="-143"/>
        <w:jc w:val="both"/>
        <w:rPr>
          <w:rFonts w:ascii="Calibri" w:eastAsia="Calibri" w:hAnsi="Calibri" w:cs="Calibri"/>
          <w:sz w:val="18"/>
          <w:szCs w:val="18"/>
          <w:lang w:val="el-GR"/>
        </w:rPr>
      </w:pPr>
    </w:p>
    <w:p w:rsidR="007F12AF" w:rsidRPr="001C793F" w:rsidRDefault="007F12AF" w:rsidP="007F12AF">
      <w:pPr>
        <w:spacing w:after="160" w:line="259" w:lineRule="auto"/>
        <w:jc w:val="both"/>
        <w:rPr>
          <w:rFonts w:ascii="Calibri" w:eastAsia="Calibri" w:hAnsi="Calibri" w:cs="Calibri"/>
          <w:sz w:val="18"/>
          <w:szCs w:val="18"/>
        </w:rPr>
      </w:pPr>
    </w:p>
    <w:p w:rsidR="00E67719" w:rsidRPr="001C793F" w:rsidRDefault="0028538D" w:rsidP="00E67719">
      <w:pPr>
        <w:tabs>
          <w:tab w:val="left" w:pos="1701"/>
          <w:tab w:val="left" w:pos="8262"/>
        </w:tabs>
        <w:spacing w:before="120" w:after="0" w:line="264" w:lineRule="auto"/>
        <w:ind w:left="1701" w:right="-285"/>
        <w:contextualSpacing/>
        <w:jc w:val="both"/>
        <w:rPr>
          <w:rFonts w:eastAsiaTheme="minorEastAsia" w:cs="Calibri"/>
          <w:color w:val="0D0D0D" w:themeColor="text1" w:themeTint="F2"/>
          <w:sz w:val="26"/>
          <w:szCs w:val="26"/>
        </w:rPr>
      </w:pPr>
      <w:r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6240" behindDoc="0" locked="0" layoutInCell="1" allowOverlap="1" wp14:anchorId="60BF0A1D" wp14:editId="1BF3D38D">
                <wp:simplePos x="0" y="0"/>
                <wp:positionH relativeFrom="column">
                  <wp:posOffset>2341576</wp:posOffset>
                </wp:positionH>
                <wp:positionV relativeFrom="paragraph">
                  <wp:posOffset>170815</wp:posOffset>
                </wp:positionV>
                <wp:extent cx="2082165" cy="2673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082165" cy="267335"/>
                        </a:xfrm>
                        <a:prstGeom prst="rect">
                          <a:avLst/>
                        </a:prstGeom>
                        <a:noFill/>
                        <a:ln w="6350">
                          <a:noFill/>
                        </a:ln>
                      </wps:spPr>
                      <wps:txbx>
                        <w:txbxContent>
                          <w:p w:rsidR="009B7A12" w:rsidRPr="004D5329" w:rsidRDefault="009B7A12" w:rsidP="00E67719">
                            <w:pPr>
                              <w:ind w:left="-142"/>
                              <w:rPr>
                                <w:rFonts w:eastAsiaTheme="minorEastAsia" w:cs="Calibri"/>
                                <w:b/>
                                <w:bCs/>
                                <w:color w:val="003C96" w:themeColor="text2"/>
                                <w:sz w:val="18"/>
                                <w:szCs w:val="18"/>
                              </w:rPr>
                            </w:pPr>
                            <w:r>
                              <w:rPr>
                                <w:rFonts w:eastAsiaTheme="minorEastAsia" w:cs="Calibri"/>
                                <w:b/>
                                <w:bCs/>
                                <w:color w:val="003C96" w:themeColor="text2"/>
                                <w:sz w:val="18"/>
                                <w:szCs w:val="18"/>
                              </w:rPr>
                              <w:t xml:space="preserve">Νέες Καταθέσεις Ιδιωτικού Τομέα </w:t>
                            </w:r>
                            <w:r w:rsidRPr="004D5329">
                              <w:rPr>
                                <w:rFonts w:eastAsiaTheme="minorEastAsia" w:cs="Calibri"/>
                                <w:b/>
                                <w:bCs/>
                                <w:color w:val="003C96" w:themeColor="text2"/>
                                <w:sz w:val="18"/>
                                <w:szCs w:val="18"/>
                              </w:rPr>
                              <w:t>(€</w:t>
                            </w:r>
                            <w:r>
                              <w:rPr>
                                <w:rFonts w:eastAsiaTheme="minorEastAsia" w:cs="Calibri"/>
                                <w:b/>
                                <w:bCs/>
                                <w:color w:val="003C96" w:themeColor="text2"/>
                                <w:sz w:val="18"/>
                                <w:szCs w:val="18"/>
                              </w:rPr>
                              <w:t>δισ.</w:t>
                            </w:r>
                            <w:r w:rsidRPr="004D5329">
                              <w:rPr>
                                <w:rFonts w:eastAsiaTheme="minorEastAsia" w:cs="Calibri"/>
                                <w:b/>
                                <w:bCs/>
                                <w:color w:val="003C96" w:themeColor="text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F0A1D" id="_x0000_t202" coordsize="21600,21600" o:spt="202" path="m,l,21600r21600,l21600,xe">
                <v:stroke joinstyle="miter"/>
                <v:path gradientshapeok="t" o:connecttype="rect"/>
              </v:shapetype>
              <v:shape id="Text Box 35" o:spid="_x0000_s1029" type="#_x0000_t202" style="position:absolute;left:0;text-align:left;margin-left:184.4pt;margin-top:13.45pt;width:163.9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z0MA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" filled="f" stroked="f" strokeweight=".5pt">
                <v:textbox>
                  <w:txbxContent>
                    <w:p w:rsidR="009B7A12" w:rsidRPr="004D5329" w:rsidRDefault="009B7A12" w:rsidP="00E67719">
                      <w:pPr>
                        <w:ind w:left="-142"/>
                        <w:rPr>
                          <w:rFonts w:eastAsiaTheme="minorEastAsia" w:cs="Calibri"/>
                          <w:b/>
                          <w:bCs/>
                          <w:color w:val="003C96" w:themeColor="text2"/>
                          <w:sz w:val="18"/>
                          <w:szCs w:val="18"/>
                        </w:rPr>
                      </w:pPr>
                      <w:r>
                        <w:rPr>
                          <w:rFonts w:eastAsiaTheme="minorEastAsia" w:cs="Calibri"/>
                          <w:b/>
                          <w:bCs/>
                          <w:color w:val="003C96" w:themeColor="text2"/>
                          <w:sz w:val="18"/>
                          <w:szCs w:val="18"/>
                        </w:rPr>
                        <w:t xml:space="preserve">Νέες Καταθέσεις Ιδιωτικού Τομέα </w:t>
                      </w:r>
                      <w:r w:rsidRPr="004D5329">
                        <w:rPr>
                          <w:rFonts w:eastAsiaTheme="minorEastAsia" w:cs="Calibri"/>
                          <w:b/>
                          <w:bCs/>
                          <w:color w:val="003C96" w:themeColor="text2"/>
                          <w:sz w:val="18"/>
                          <w:szCs w:val="18"/>
                        </w:rPr>
                        <w:t>(€</w:t>
                      </w:r>
                      <w:r>
                        <w:rPr>
                          <w:rFonts w:eastAsiaTheme="minorEastAsia" w:cs="Calibri"/>
                          <w:b/>
                          <w:bCs/>
                          <w:color w:val="003C96" w:themeColor="text2"/>
                          <w:sz w:val="18"/>
                          <w:szCs w:val="18"/>
                        </w:rPr>
                        <w:t>δισ.</w:t>
                      </w:r>
                      <w:r w:rsidRPr="004D5329">
                        <w:rPr>
                          <w:rFonts w:eastAsiaTheme="minorEastAsia" w:cs="Calibri"/>
                          <w:b/>
                          <w:bCs/>
                          <w:color w:val="003C96" w:themeColor="text2"/>
                          <w:sz w:val="18"/>
                          <w:szCs w:val="18"/>
                        </w:rPr>
                        <w:t>)</w:t>
                      </w:r>
                    </w:p>
                  </w:txbxContent>
                </v:textbox>
              </v:shape>
            </w:pict>
          </mc:Fallback>
        </mc:AlternateContent>
      </w:r>
      <w:r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4192" behindDoc="0" locked="0" layoutInCell="1" allowOverlap="1" wp14:anchorId="740799F7" wp14:editId="62AA9F73">
                <wp:simplePos x="0" y="0"/>
                <wp:positionH relativeFrom="column">
                  <wp:posOffset>-665480</wp:posOffset>
                </wp:positionH>
                <wp:positionV relativeFrom="paragraph">
                  <wp:posOffset>173990</wp:posOffset>
                </wp:positionV>
                <wp:extent cx="2082165" cy="2673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2165" cy="267335"/>
                        </a:xfrm>
                        <a:prstGeom prst="rect">
                          <a:avLst/>
                        </a:prstGeom>
                        <a:noFill/>
                        <a:ln w="6350">
                          <a:noFill/>
                        </a:ln>
                      </wps:spPr>
                      <wps:txbx>
                        <w:txbxContent>
                          <w:p w:rsidR="009B7A12" w:rsidRPr="00F16CA1" w:rsidRDefault="009B7A12" w:rsidP="00E67719">
                            <w:pPr>
                              <w:ind w:left="-142"/>
                              <w:rPr>
                                <w:rFonts w:eastAsiaTheme="minorEastAsia" w:cs="Calibri"/>
                                <w:b/>
                                <w:bCs/>
                                <w:color w:val="003C96" w:themeColor="text2"/>
                                <w:sz w:val="18"/>
                                <w:szCs w:val="18"/>
                                <w:lang w:val="en-US"/>
                              </w:rPr>
                            </w:pPr>
                            <w:r>
                              <w:rPr>
                                <w:rFonts w:eastAsiaTheme="minorEastAsia" w:cs="Calibri"/>
                                <w:b/>
                                <w:bCs/>
                                <w:color w:val="003C96" w:themeColor="text2"/>
                                <w:sz w:val="18"/>
                                <w:szCs w:val="18"/>
                              </w:rPr>
                              <w:t xml:space="preserve">Νέες Εκταμιεύσεις Δανείων </w:t>
                            </w:r>
                            <w:r w:rsidRPr="00F16CA1">
                              <w:rPr>
                                <w:rFonts w:eastAsiaTheme="minorEastAsia" w:cs="Calibri"/>
                                <w:b/>
                                <w:bCs/>
                                <w:color w:val="003C96" w:themeColor="text2"/>
                                <w:sz w:val="18"/>
                                <w:szCs w:val="18"/>
                                <w:lang w:val="en-US"/>
                              </w:rPr>
                              <w:t>(€</w:t>
                            </w:r>
                            <w:r>
                              <w:rPr>
                                <w:rFonts w:eastAsiaTheme="minorEastAsia" w:cs="Calibri"/>
                                <w:b/>
                                <w:bCs/>
                                <w:color w:val="003C96" w:themeColor="text2"/>
                                <w:sz w:val="18"/>
                                <w:szCs w:val="18"/>
                              </w:rPr>
                              <w:t>δισ.</w:t>
                            </w:r>
                            <w:r w:rsidRPr="00F16CA1">
                              <w:rPr>
                                <w:rFonts w:eastAsiaTheme="minorEastAsia" w:cs="Calibri"/>
                                <w:b/>
                                <w:bCs/>
                                <w:color w:val="003C96" w:themeColor="text2"/>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99F7" id="Text Box 22" o:spid="_x0000_s1030" type="#_x0000_t202" style="position:absolute;left:0;text-align:left;margin-left:-52.4pt;margin-top:13.7pt;width:163.95pt;height:2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" filled="f" stroked="f" strokeweight=".5pt">
                <v:textbox>
                  <w:txbxContent>
                    <w:p w:rsidR="009B7A12" w:rsidRPr="00F16CA1" w:rsidRDefault="009B7A12" w:rsidP="00E67719">
                      <w:pPr>
                        <w:ind w:left="-142"/>
                        <w:rPr>
                          <w:rFonts w:eastAsiaTheme="minorEastAsia" w:cs="Calibri"/>
                          <w:b/>
                          <w:bCs/>
                          <w:color w:val="003C96" w:themeColor="text2"/>
                          <w:sz w:val="18"/>
                          <w:szCs w:val="18"/>
                          <w:lang w:val="en-US"/>
                        </w:rPr>
                      </w:pPr>
                      <w:r>
                        <w:rPr>
                          <w:rFonts w:eastAsiaTheme="minorEastAsia" w:cs="Calibri"/>
                          <w:b/>
                          <w:bCs/>
                          <w:color w:val="003C96" w:themeColor="text2"/>
                          <w:sz w:val="18"/>
                          <w:szCs w:val="18"/>
                        </w:rPr>
                        <w:t xml:space="preserve">Νέες Εκταμιεύσεις Δανείων </w:t>
                      </w:r>
                      <w:r w:rsidRPr="00F16CA1">
                        <w:rPr>
                          <w:rFonts w:eastAsiaTheme="minorEastAsia" w:cs="Calibri"/>
                          <w:b/>
                          <w:bCs/>
                          <w:color w:val="003C96" w:themeColor="text2"/>
                          <w:sz w:val="18"/>
                          <w:szCs w:val="18"/>
                          <w:lang w:val="en-US"/>
                        </w:rPr>
                        <w:t>(€</w:t>
                      </w:r>
                      <w:r>
                        <w:rPr>
                          <w:rFonts w:eastAsiaTheme="minorEastAsia" w:cs="Calibri"/>
                          <w:b/>
                          <w:bCs/>
                          <w:color w:val="003C96" w:themeColor="text2"/>
                          <w:sz w:val="18"/>
                          <w:szCs w:val="18"/>
                        </w:rPr>
                        <w:t>δισ.</w:t>
                      </w:r>
                      <w:r w:rsidRPr="00F16CA1">
                        <w:rPr>
                          <w:rFonts w:eastAsiaTheme="minorEastAsia" w:cs="Calibri"/>
                          <w:b/>
                          <w:bCs/>
                          <w:color w:val="003C96" w:themeColor="text2"/>
                          <w:sz w:val="18"/>
                          <w:szCs w:val="18"/>
                          <w:lang w:val="en-US"/>
                        </w:rPr>
                        <w:t xml:space="preserve">)                                                </w:t>
                      </w:r>
                    </w:p>
                  </w:txbxContent>
                </v:textbox>
              </v:shape>
            </w:pict>
          </mc:Fallback>
        </mc:AlternateContent>
      </w:r>
    </w:p>
    <w:p w:rsidR="00E67719" w:rsidRPr="001C793F" w:rsidRDefault="00E67719" w:rsidP="00E73BFB">
      <w:pPr>
        <w:tabs>
          <w:tab w:val="left" w:pos="3686"/>
          <w:tab w:val="left" w:pos="3828"/>
        </w:tabs>
        <w:rPr>
          <w:rFonts w:cs="Calibri"/>
          <w:color w:val="0D0D0D" w:themeColor="text1" w:themeTint="F2"/>
          <w:sz w:val="19"/>
          <w:szCs w:val="19"/>
        </w:rPr>
      </w:pPr>
      <w:r w:rsidRPr="001C793F">
        <w:rPr>
          <w:rFonts w:cs="Calibri"/>
          <w:color w:val="0D0D0D" w:themeColor="text1" w:themeTint="F2"/>
          <w:sz w:val="19"/>
          <w:szCs w:val="19"/>
        </w:rPr>
        <w:t xml:space="preserve">     </w:t>
      </w:r>
    </w:p>
    <w:p w:rsidR="00E67719" w:rsidRPr="001C793F" w:rsidRDefault="004D532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r w:rsidRPr="00245ADD">
        <w:rPr>
          <w:rFonts w:eastAsiaTheme="minorEastAsia" w:cs="Calibri"/>
          <w:b/>
          <w:noProof/>
          <w:sz w:val="16"/>
          <w:szCs w:val="16"/>
          <w:lang w:val="en-GB" w:eastAsia="en-GB"/>
        </w:rPr>
        <w:drawing>
          <wp:anchor distT="0" distB="0" distL="114300" distR="114300" simplePos="0" relativeHeight="251796480" behindDoc="0" locked="0" layoutInCell="1" allowOverlap="1" wp14:anchorId="673FCD4B" wp14:editId="15B3AC09">
            <wp:simplePos x="0" y="0"/>
            <wp:positionH relativeFrom="page">
              <wp:posOffset>3929685</wp:posOffset>
            </wp:positionH>
            <wp:positionV relativeFrom="page">
              <wp:posOffset>2181758</wp:posOffset>
            </wp:positionV>
            <wp:extent cx="2552700" cy="1423670"/>
            <wp:effectExtent l="0" t="0" r="0" b="0"/>
            <wp:wrapNone/>
            <wp:docPr id="3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D36FA" w:rsidRPr="003839A2">
        <w:rPr>
          <w:rFonts w:eastAsiaTheme="minorEastAsia" w:cs="Calibri"/>
          <w:noProof/>
          <w:color w:val="0D0D0D" w:themeColor="text1" w:themeTint="F2"/>
          <w:sz w:val="26"/>
          <w:szCs w:val="26"/>
          <w:lang w:val="en-GB" w:eastAsia="en-GB"/>
        </w:rPr>
        <w:drawing>
          <wp:anchor distT="0" distB="0" distL="114300" distR="114300" simplePos="0" relativeHeight="251794432" behindDoc="1" locked="0" layoutInCell="1" allowOverlap="1" wp14:anchorId="3F460B0B" wp14:editId="7D2268A7">
            <wp:simplePos x="0" y="0"/>
            <wp:positionH relativeFrom="column">
              <wp:posOffset>-769620</wp:posOffset>
            </wp:positionH>
            <wp:positionV relativeFrom="paragraph">
              <wp:posOffset>125095</wp:posOffset>
            </wp:positionV>
            <wp:extent cx="2027555" cy="1374140"/>
            <wp:effectExtent l="0" t="0" r="0" b="0"/>
            <wp:wrapTight wrapText="bothSides">
              <wp:wrapPolygon edited="0">
                <wp:start x="7103" y="0"/>
                <wp:lineTo x="1624" y="2994"/>
                <wp:lineTo x="1624" y="4192"/>
                <wp:lineTo x="6088" y="5390"/>
                <wp:lineTo x="1218" y="5689"/>
                <wp:lineTo x="812" y="5989"/>
                <wp:lineTo x="812" y="14373"/>
                <wp:lineTo x="1421" y="16769"/>
                <wp:lineTo x="16844" y="19763"/>
                <wp:lineTo x="16641" y="20662"/>
                <wp:lineTo x="19686" y="20662"/>
                <wp:lineTo x="21309" y="18865"/>
                <wp:lineTo x="20700" y="15871"/>
                <wp:lineTo x="17656" y="14972"/>
                <wp:lineTo x="19889" y="13774"/>
                <wp:lineTo x="20091" y="6588"/>
                <wp:lineTo x="18265" y="5989"/>
                <wp:lineTo x="9335" y="5390"/>
                <wp:lineTo x="8727" y="0"/>
                <wp:lineTo x="7103"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67719" w:rsidRPr="001C793F" w:rsidRDefault="00E67719" w:rsidP="00E67719">
      <w:pPr>
        <w:tabs>
          <w:tab w:val="left" w:pos="3119"/>
          <w:tab w:val="left" w:pos="3544"/>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center"/>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4598E"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r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1120" behindDoc="0" locked="0" layoutInCell="1" allowOverlap="1" wp14:anchorId="689B89D2" wp14:editId="320336C0">
                <wp:simplePos x="0" y="0"/>
                <wp:positionH relativeFrom="margin">
                  <wp:align>right</wp:align>
                </wp:positionH>
                <wp:positionV relativeFrom="paragraph">
                  <wp:posOffset>99771</wp:posOffset>
                </wp:positionV>
                <wp:extent cx="2574950" cy="42100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574950" cy="421005"/>
                        </a:xfrm>
                        <a:prstGeom prst="rect">
                          <a:avLst/>
                        </a:prstGeom>
                        <a:noFill/>
                        <a:ln w="6350">
                          <a:noFill/>
                        </a:ln>
                      </wps:spPr>
                      <wps:txbx>
                        <w:txbxContent>
                          <w:p w:rsidR="009B7A12" w:rsidRPr="00BD37AE" w:rsidRDefault="009B7A12" w:rsidP="00E67719">
                            <w:pPr>
                              <w:ind w:left="-142"/>
                              <w:rPr>
                                <w:rFonts w:eastAsiaTheme="minorEastAsia" w:cs="Calibri"/>
                                <w:b/>
                                <w:bCs/>
                                <w:color w:val="003C96" w:themeColor="text2"/>
                                <w:sz w:val="18"/>
                                <w:szCs w:val="18"/>
                              </w:rPr>
                            </w:pPr>
                            <w:r w:rsidRPr="002A62FF">
                              <w:rPr>
                                <w:rFonts w:eastAsiaTheme="minorEastAsia" w:cs="Calibri"/>
                                <w:b/>
                                <w:bCs/>
                                <w:color w:val="003C96" w:themeColor="text2"/>
                                <w:sz w:val="18"/>
                                <w:szCs w:val="18"/>
                              </w:rPr>
                              <w:t>Μ</w:t>
                            </w:r>
                            <w:r>
                              <w:rPr>
                                <w:rFonts w:eastAsiaTheme="minorEastAsia" w:cs="Calibri"/>
                                <w:b/>
                                <w:bCs/>
                                <w:color w:val="003C96" w:themeColor="text2"/>
                                <w:sz w:val="18"/>
                                <w:szCs w:val="18"/>
                              </w:rPr>
                              <w:t xml:space="preserve">η Εξυπηρετούμενα Ανοίγματα </w:t>
                            </w:r>
                            <w:r w:rsidRPr="002A62FF">
                              <w:rPr>
                                <w:rFonts w:eastAsiaTheme="minorEastAsia" w:cs="Calibri"/>
                                <w:b/>
                                <w:bCs/>
                                <w:color w:val="003C96" w:themeColor="text2"/>
                                <w:sz w:val="18"/>
                                <w:szCs w:val="18"/>
                              </w:rPr>
                              <w:t>|</w:t>
                            </w:r>
                            <w:r>
                              <w:rPr>
                                <w:rFonts w:eastAsiaTheme="minorEastAsia" w:cs="Calibri"/>
                                <w:b/>
                                <w:bCs/>
                                <w:color w:val="003C96" w:themeColor="text2"/>
                                <w:sz w:val="18"/>
                                <w:szCs w:val="18"/>
                              </w:rPr>
                              <w:t xml:space="preserve"> Ελλάδα</w:t>
                            </w:r>
                            <w:r w:rsidRPr="002A62FF">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 xml:space="preserve"> </w:t>
                            </w:r>
                            <w:r w:rsidRPr="002A62FF">
                              <w:rPr>
                                <w:rFonts w:eastAsiaTheme="minorEastAsia" w:cs="Calibri"/>
                                <w:b/>
                                <w:bCs/>
                                <w:color w:val="003C96" w:themeColor="text2"/>
                                <w:sz w:val="18"/>
                                <w:szCs w:val="18"/>
                              </w:rPr>
                              <w:t>(€δισ.)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89D2" id="Text Box 75" o:spid="_x0000_s1031" type="#_x0000_t202" style="position:absolute;left:0;text-align:left;margin-left:151.55pt;margin-top:7.85pt;width:202.75pt;height:33.1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" filled="f" stroked="f" strokeweight=".5pt">
                <v:textbox>
                  <w:txbxContent>
                    <w:p w:rsidR="009B7A12" w:rsidRPr="00BD37AE" w:rsidRDefault="009B7A12" w:rsidP="00E67719">
                      <w:pPr>
                        <w:ind w:left="-142"/>
                        <w:rPr>
                          <w:rFonts w:eastAsiaTheme="minorEastAsia" w:cs="Calibri"/>
                          <w:b/>
                          <w:bCs/>
                          <w:color w:val="003C96" w:themeColor="text2"/>
                          <w:sz w:val="18"/>
                          <w:szCs w:val="18"/>
                        </w:rPr>
                      </w:pPr>
                      <w:r w:rsidRPr="002A62FF">
                        <w:rPr>
                          <w:rFonts w:eastAsiaTheme="minorEastAsia" w:cs="Calibri"/>
                          <w:b/>
                          <w:bCs/>
                          <w:color w:val="003C96" w:themeColor="text2"/>
                          <w:sz w:val="18"/>
                          <w:szCs w:val="18"/>
                        </w:rPr>
                        <w:t>Μ</w:t>
                      </w:r>
                      <w:r>
                        <w:rPr>
                          <w:rFonts w:eastAsiaTheme="minorEastAsia" w:cs="Calibri"/>
                          <w:b/>
                          <w:bCs/>
                          <w:color w:val="003C96" w:themeColor="text2"/>
                          <w:sz w:val="18"/>
                          <w:szCs w:val="18"/>
                        </w:rPr>
                        <w:t xml:space="preserve">η Εξυπηρετούμενα Ανοίγματα </w:t>
                      </w:r>
                      <w:r w:rsidRPr="002A62FF">
                        <w:rPr>
                          <w:rFonts w:eastAsiaTheme="minorEastAsia" w:cs="Calibri"/>
                          <w:b/>
                          <w:bCs/>
                          <w:color w:val="003C96" w:themeColor="text2"/>
                          <w:sz w:val="18"/>
                          <w:szCs w:val="18"/>
                        </w:rPr>
                        <w:t>|</w:t>
                      </w:r>
                      <w:r>
                        <w:rPr>
                          <w:rFonts w:eastAsiaTheme="minorEastAsia" w:cs="Calibri"/>
                          <w:b/>
                          <w:bCs/>
                          <w:color w:val="003C96" w:themeColor="text2"/>
                          <w:sz w:val="18"/>
                          <w:szCs w:val="18"/>
                        </w:rPr>
                        <w:t xml:space="preserve"> Ελλάδα</w:t>
                      </w:r>
                      <w:r w:rsidRPr="002A62FF">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 xml:space="preserve"> </w:t>
                      </w:r>
                      <w:r w:rsidRPr="002A62FF">
                        <w:rPr>
                          <w:rFonts w:eastAsiaTheme="minorEastAsia" w:cs="Calibri"/>
                          <w:b/>
                          <w:bCs/>
                          <w:color w:val="003C96" w:themeColor="text2"/>
                          <w:sz w:val="18"/>
                          <w:szCs w:val="18"/>
                        </w:rPr>
                        <w:t>(€δισ.)</w:t>
                      </w:r>
                    </w:p>
                  </w:txbxContent>
                </v:textbox>
                <w10:wrap anchorx="margin"/>
              </v:shape>
            </w:pict>
          </mc:Fallback>
        </mc:AlternateContent>
      </w:r>
      <w:r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2144" behindDoc="0" locked="0" layoutInCell="1" allowOverlap="1" wp14:anchorId="6A45DC7A" wp14:editId="15281D73">
                <wp:simplePos x="0" y="0"/>
                <wp:positionH relativeFrom="column">
                  <wp:posOffset>-676072</wp:posOffset>
                </wp:positionH>
                <wp:positionV relativeFrom="paragraph">
                  <wp:posOffset>121717</wp:posOffset>
                </wp:positionV>
                <wp:extent cx="2260397" cy="2673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60397" cy="267335"/>
                        </a:xfrm>
                        <a:prstGeom prst="rect">
                          <a:avLst/>
                        </a:prstGeom>
                        <a:noFill/>
                        <a:ln w="6350">
                          <a:noFill/>
                        </a:ln>
                      </wps:spPr>
                      <wps:txbx>
                        <w:txbxContent>
                          <w:p w:rsidR="009B7A12" w:rsidRPr="00F16CA1" w:rsidRDefault="009B7A12" w:rsidP="00E67719">
                            <w:pPr>
                              <w:ind w:left="-142"/>
                              <w:rPr>
                                <w:rFonts w:eastAsiaTheme="minorEastAsia" w:cs="Calibri"/>
                                <w:b/>
                                <w:bCs/>
                                <w:color w:val="003C96" w:themeColor="text2"/>
                                <w:sz w:val="18"/>
                                <w:szCs w:val="18"/>
                                <w:lang w:val="en-US"/>
                              </w:rPr>
                            </w:pPr>
                            <w:proofErr w:type="spellStart"/>
                            <w:r w:rsidRPr="00BD37AE">
                              <w:rPr>
                                <w:rFonts w:eastAsiaTheme="minorEastAsia" w:cs="Calibri"/>
                                <w:b/>
                                <w:bCs/>
                                <w:color w:val="003C96" w:themeColor="text2"/>
                                <w:sz w:val="18"/>
                                <w:szCs w:val="18"/>
                                <w:lang w:val="en-US"/>
                              </w:rPr>
                              <w:t>Εξυ</w:t>
                            </w:r>
                            <w:proofErr w:type="spellEnd"/>
                            <w:r w:rsidRPr="00BD37AE">
                              <w:rPr>
                                <w:rFonts w:eastAsiaTheme="minorEastAsia" w:cs="Calibri"/>
                                <w:b/>
                                <w:bCs/>
                                <w:color w:val="003C96" w:themeColor="text2"/>
                                <w:sz w:val="18"/>
                                <w:szCs w:val="18"/>
                                <w:lang w:val="en-US"/>
                              </w:rPr>
                              <w:t xml:space="preserve">πηρετούμενα </w:t>
                            </w:r>
                            <w:proofErr w:type="spellStart"/>
                            <w:r w:rsidRPr="00BD37AE">
                              <w:rPr>
                                <w:rFonts w:eastAsiaTheme="minorEastAsia" w:cs="Calibri"/>
                                <w:b/>
                                <w:bCs/>
                                <w:color w:val="003C96" w:themeColor="text2"/>
                                <w:sz w:val="18"/>
                                <w:szCs w:val="18"/>
                                <w:lang w:val="en-US"/>
                              </w:rPr>
                              <w:t>Δάνει</w:t>
                            </w:r>
                            <w:proofErr w:type="spellEnd"/>
                            <w:r w:rsidRPr="00BD37AE">
                              <w:rPr>
                                <w:rFonts w:eastAsiaTheme="minorEastAsia" w:cs="Calibri"/>
                                <w:b/>
                                <w:bCs/>
                                <w:color w:val="003C96" w:themeColor="text2"/>
                                <w:sz w:val="18"/>
                                <w:szCs w:val="18"/>
                                <w:lang w:val="en-US"/>
                              </w:rPr>
                              <w:t>α</w:t>
                            </w:r>
                            <w:r>
                              <w:rPr>
                                <w:rFonts w:eastAsiaTheme="minorEastAsia" w:cs="Calibri"/>
                                <w:b/>
                                <w:bCs/>
                                <w:color w:val="003C96" w:themeColor="text2"/>
                                <w:sz w:val="18"/>
                                <w:szCs w:val="18"/>
                              </w:rPr>
                              <w:t xml:space="preserve"> </w:t>
                            </w:r>
                            <w:r w:rsidRPr="00BD37AE">
                              <w:rPr>
                                <w:rFonts w:eastAsiaTheme="minorEastAsia" w:cs="Calibri"/>
                                <w:b/>
                                <w:bCs/>
                                <w:color w:val="003C96" w:themeColor="text2"/>
                                <w:sz w:val="18"/>
                                <w:szCs w:val="18"/>
                                <w:lang w:val="en-US"/>
                              </w:rPr>
                              <w:t>|</w:t>
                            </w:r>
                            <w:r>
                              <w:rPr>
                                <w:rFonts w:eastAsiaTheme="minorEastAsia" w:cs="Calibri"/>
                                <w:b/>
                                <w:bCs/>
                                <w:color w:val="003C96" w:themeColor="text2"/>
                                <w:sz w:val="18"/>
                                <w:szCs w:val="18"/>
                              </w:rPr>
                              <w:t xml:space="preserve"> </w:t>
                            </w:r>
                            <w:proofErr w:type="spellStart"/>
                            <w:r w:rsidRPr="00BD37AE">
                              <w:rPr>
                                <w:rFonts w:eastAsiaTheme="minorEastAsia" w:cs="Calibri"/>
                                <w:b/>
                                <w:bCs/>
                                <w:color w:val="003C96" w:themeColor="text2"/>
                                <w:sz w:val="18"/>
                                <w:szCs w:val="18"/>
                                <w:lang w:val="en-US"/>
                              </w:rPr>
                              <w:t>Ελλάδ</w:t>
                            </w:r>
                            <w:proofErr w:type="spellEnd"/>
                            <w:r w:rsidRPr="00BD37AE">
                              <w:rPr>
                                <w:rFonts w:eastAsiaTheme="minorEastAsia" w:cs="Calibri"/>
                                <w:b/>
                                <w:bCs/>
                                <w:color w:val="003C96" w:themeColor="text2"/>
                                <w:sz w:val="18"/>
                                <w:szCs w:val="18"/>
                                <w:lang w:val="en-US"/>
                              </w:rPr>
                              <w:t>α (€</w:t>
                            </w:r>
                            <w:proofErr w:type="spellStart"/>
                            <w:r w:rsidRPr="00BD37AE">
                              <w:rPr>
                                <w:rFonts w:eastAsiaTheme="minorEastAsia" w:cs="Calibri"/>
                                <w:b/>
                                <w:bCs/>
                                <w:color w:val="003C96" w:themeColor="text2"/>
                                <w:sz w:val="18"/>
                                <w:szCs w:val="18"/>
                                <w:lang w:val="en-US"/>
                              </w:rPr>
                              <w:t>δισ</w:t>
                            </w:r>
                            <w:proofErr w:type="spellEnd"/>
                            <w:r w:rsidRPr="00BD37AE">
                              <w:rPr>
                                <w:rFonts w:eastAsiaTheme="minorEastAsia" w:cs="Calibri"/>
                                <w:b/>
                                <w:bCs/>
                                <w:color w:val="003C96" w:themeColor="text2"/>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DC7A" id="Text Box 20" o:spid="_x0000_s1032" type="#_x0000_t202" style="position:absolute;left:0;text-align:left;margin-left:-53.25pt;margin-top:9.6pt;width:178pt;height:2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" filled="f" stroked="f" strokeweight=".5pt">
                <v:textbox>
                  <w:txbxContent>
                    <w:p w:rsidR="009B7A12" w:rsidRPr="00F16CA1" w:rsidRDefault="009B7A12" w:rsidP="00E67719">
                      <w:pPr>
                        <w:ind w:left="-142"/>
                        <w:rPr>
                          <w:rFonts w:eastAsiaTheme="minorEastAsia" w:cs="Calibri"/>
                          <w:b/>
                          <w:bCs/>
                          <w:color w:val="003C96" w:themeColor="text2"/>
                          <w:sz w:val="18"/>
                          <w:szCs w:val="18"/>
                          <w:lang w:val="en-US"/>
                        </w:rPr>
                      </w:pPr>
                      <w:proofErr w:type="spellStart"/>
                      <w:r w:rsidRPr="00BD37AE">
                        <w:rPr>
                          <w:rFonts w:eastAsiaTheme="minorEastAsia" w:cs="Calibri"/>
                          <w:b/>
                          <w:bCs/>
                          <w:color w:val="003C96" w:themeColor="text2"/>
                          <w:sz w:val="18"/>
                          <w:szCs w:val="18"/>
                          <w:lang w:val="en-US"/>
                        </w:rPr>
                        <w:t>Εξυ</w:t>
                      </w:r>
                      <w:proofErr w:type="spellEnd"/>
                      <w:r w:rsidRPr="00BD37AE">
                        <w:rPr>
                          <w:rFonts w:eastAsiaTheme="minorEastAsia" w:cs="Calibri"/>
                          <w:b/>
                          <w:bCs/>
                          <w:color w:val="003C96" w:themeColor="text2"/>
                          <w:sz w:val="18"/>
                          <w:szCs w:val="18"/>
                          <w:lang w:val="en-US"/>
                        </w:rPr>
                        <w:t xml:space="preserve">πηρετούμενα </w:t>
                      </w:r>
                      <w:proofErr w:type="spellStart"/>
                      <w:r w:rsidRPr="00BD37AE">
                        <w:rPr>
                          <w:rFonts w:eastAsiaTheme="minorEastAsia" w:cs="Calibri"/>
                          <w:b/>
                          <w:bCs/>
                          <w:color w:val="003C96" w:themeColor="text2"/>
                          <w:sz w:val="18"/>
                          <w:szCs w:val="18"/>
                          <w:lang w:val="en-US"/>
                        </w:rPr>
                        <w:t>Δάνει</w:t>
                      </w:r>
                      <w:proofErr w:type="spellEnd"/>
                      <w:r w:rsidRPr="00BD37AE">
                        <w:rPr>
                          <w:rFonts w:eastAsiaTheme="minorEastAsia" w:cs="Calibri"/>
                          <w:b/>
                          <w:bCs/>
                          <w:color w:val="003C96" w:themeColor="text2"/>
                          <w:sz w:val="18"/>
                          <w:szCs w:val="18"/>
                          <w:lang w:val="en-US"/>
                        </w:rPr>
                        <w:t>α</w:t>
                      </w:r>
                      <w:r>
                        <w:rPr>
                          <w:rFonts w:eastAsiaTheme="minorEastAsia" w:cs="Calibri"/>
                          <w:b/>
                          <w:bCs/>
                          <w:color w:val="003C96" w:themeColor="text2"/>
                          <w:sz w:val="18"/>
                          <w:szCs w:val="18"/>
                        </w:rPr>
                        <w:t xml:space="preserve"> </w:t>
                      </w:r>
                      <w:r w:rsidRPr="00BD37AE">
                        <w:rPr>
                          <w:rFonts w:eastAsiaTheme="minorEastAsia" w:cs="Calibri"/>
                          <w:b/>
                          <w:bCs/>
                          <w:color w:val="003C96" w:themeColor="text2"/>
                          <w:sz w:val="18"/>
                          <w:szCs w:val="18"/>
                          <w:lang w:val="en-US"/>
                        </w:rPr>
                        <w:t>|</w:t>
                      </w:r>
                      <w:r>
                        <w:rPr>
                          <w:rFonts w:eastAsiaTheme="minorEastAsia" w:cs="Calibri"/>
                          <w:b/>
                          <w:bCs/>
                          <w:color w:val="003C96" w:themeColor="text2"/>
                          <w:sz w:val="18"/>
                          <w:szCs w:val="18"/>
                        </w:rPr>
                        <w:t xml:space="preserve"> </w:t>
                      </w:r>
                      <w:proofErr w:type="spellStart"/>
                      <w:r w:rsidRPr="00BD37AE">
                        <w:rPr>
                          <w:rFonts w:eastAsiaTheme="minorEastAsia" w:cs="Calibri"/>
                          <w:b/>
                          <w:bCs/>
                          <w:color w:val="003C96" w:themeColor="text2"/>
                          <w:sz w:val="18"/>
                          <w:szCs w:val="18"/>
                          <w:lang w:val="en-US"/>
                        </w:rPr>
                        <w:t>Ελλάδ</w:t>
                      </w:r>
                      <w:proofErr w:type="spellEnd"/>
                      <w:r w:rsidRPr="00BD37AE">
                        <w:rPr>
                          <w:rFonts w:eastAsiaTheme="minorEastAsia" w:cs="Calibri"/>
                          <w:b/>
                          <w:bCs/>
                          <w:color w:val="003C96" w:themeColor="text2"/>
                          <w:sz w:val="18"/>
                          <w:szCs w:val="18"/>
                          <w:lang w:val="en-US"/>
                        </w:rPr>
                        <w:t>α (€</w:t>
                      </w:r>
                      <w:proofErr w:type="spellStart"/>
                      <w:r w:rsidRPr="00BD37AE">
                        <w:rPr>
                          <w:rFonts w:eastAsiaTheme="minorEastAsia" w:cs="Calibri"/>
                          <w:b/>
                          <w:bCs/>
                          <w:color w:val="003C96" w:themeColor="text2"/>
                          <w:sz w:val="18"/>
                          <w:szCs w:val="18"/>
                          <w:lang w:val="en-US"/>
                        </w:rPr>
                        <w:t>δισ</w:t>
                      </w:r>
                      <w:proofErr w:type="spellEnd"/>
                      <w:r w:rsidRPr="00BD37AE">
                        <w:rPr>
                          <w:rFonts w:eastAsiaTheme="minorEastAsia" w:cs="Calibri"/>
                          <w:b/>
                          <w:bCs/>
                          <w:color w:val="003C96" w:themeColor="text2"/>
                          <w:sz w:val="18"/>
                          <w:szCs w:val="18"/>
                          <w:lang w:val="en-US"/>
                        </w:rPr>
                        <w:t xml:space="preserve">.)                                                </w:t>
                      </w:r>
                    </w:p>
                  </w:txbxContent>
                </v:textbox>
              </v:shape>
            </w:pict>
          </mc:Fallback>
        </mc:AlternateContent>
      </w:r>
    </w:p>
    <w:p w:rsidR="00E67719" w:rsidRPr="001C793F" w:rsidRDefault="00E73BFB"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r w:rsidRPr="00062C42">
        <w:rPr>
          <w:rFonts w:eastAsiaTheme="minorEastAsia" w:cs="Calibri"/>
          <w:noProof/>
          <w:color w:val="003C96" w:themeColor="text2"/>
          <w:sz w:val="28"/>
          <w:szCs w:val="28"/>
          <w:lang w:val="en-GB" w:eastAsia="en-GB"/>
        </w:rPr>
        <w:drawing>
          <wp:anchor distT="0" distB="0" distL="114300" distR="114300" simplePos="0" relativeHeight="251788288" behindDoc="0" locked="0" layoutInCell="1" allowOverlap="1" wp14:anchorId="4FC9E6D8" wp14:editId="0FA9D2F9">
            <wp:simplePos x="0" y="0"/>
            <wp:positionH relativeFrom="page">
              <wp:posOffset>1082150</wp:posOffset>
            </wp:positionH>
            <wp:positionV relativeFrom="page">
              <wp:posOffset>4391881</wp:posOffset>
            </wp:positionV>
            <wp:extent cx="2231390" cy="1502410"/>
            <wp:effectExtent l="0" t="0" r="0" b="2540"/>
            <wp:wrapNone/>
            <wp:docPr id="1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r w:rsidRPr="00062C42">
        <w:rPr>
          <w:rFonts w:eastAsiaTheme="minorEastAsia" w:cs="Calibri"/>
          <w:noProof/>
          <w:color w:val="003C96" w:themeColor="text2"/>
          <w:sz w:val="28"/>
          <w:szCs w:val="28"/>
          <w:lang w:val="en-GB" w:eastAsia="en-GB"/>
        </w:rPr>
        <w:drawing>
          <wp:anchor distT="0" distB="0" distL="114300" distR="114300" simplePos="0" relativeHeight="251787264" behindDoc="0" locked="0" layoutInCell="1" allowOverlap="1" wp14:anchorId="4AB5C80B" wp14:editId="3AC8266A">
            <wp:simplePos x="0" y="0"/>
            <wp:positionH relativeFrom="page">
              <wp:posOffset>4225290</wp:posOffset>
            </wp:positionH>
            <wp:positionV relativeFrom="page">
              <wp:posOffset>4326890</wp:posOffset>
            </wp:positionV>
            <wp:extent cx="2231390" cy="1502410"/>
            <wp:effectExtent l="0" t="0" r="0" b="2540"/>
            <wp:wrapNone/>
            <wp:docPr id="1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E67719" w:rsidP="00E67719">
      <w:pPr>
        <w:tabs>
          <w:tab w:val="left" w:pos="8262"/>
        </w:tabs>
        <w:spacing w:before="120" w:after="120" w:line="240" w:lineRule="auto"/>
        <w:ind w:left="-993" w:right="74"/>
        <w:contextualSpacing/>
        <w:jc w:val="both"/>
        <w:rPr>
          <w:rFonts w:eastAsiaTheme="minorEastAsia" w:cs="Calibri"/>
          <w:color w:val="003C96" w:themeColor="text2"/>
          <w:sz w:val="28"/>
          <w:szCs w:val="28"/>
        </w:rPr>
      </w:pPr>
    </w:p>
    <w:p w:rsidR="00E67719" w:rsidRPr="001C793F" w:rsidRDefault="00FB0D59" w:rsidP="00E67719">
      <w:pPr>
        <w:rPr>
          <w:rFonts w:eastAsiaTheme="minorEastAsia" w:cs="Calibri"/>
          <w:color w:val="003C96" w:themeColor="text2"/>
          <w:sz w:val="28"/>
          <w:szCs w:val="28"/>
        </w:rPr>
      </w:pPr>
      <w:r w:rsidRPr="00245ADD">
        <w:rPr>
          <w:rFonts w:eastAsiaTheme="minorEastAsia" w:cs="Calibri"/>
          <w:b/>
          <w:noProof/>
          <w:sz w:val="16"/>
          <w:szCs w:val="16"/>
          <w:lang w:val="en-GB" w:eastAsia="en-GB"/>
        </w:rPr>
        <w:drawing>
          <wp:anchor distT="0" distB="0" distL="114300" distR="114300" simplePos="0" relativeHeight="251728895" behindDoc="0" locked="0" layoutInCell="1" allowOverlap="1" wp14:anchorId="7D28ED0D" wp14:editId="261B0FC0">
            <wp:simplePos x="0" y="0"/>
            <wp:positionH relativeFrom="page">
              <wp:posOffset>1139190</wp:posOffset>
            </wp:positionH>
            <wp:positionV relativeFrom="page">
              <wp:posOffset>7058025</wp:posOffset>
            </wp:positionV>
            <wp:extent cx="2231390" cy="1502410"/>
            <wp:effectExtent l="0" t="0" r="0" b="2540"/>
            <wp:wrapNone/>
            <wp:docPr id="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bookmarkStart w:id="0" w:name="_GoBack"/>
      <w:r w:rsidRPr="00245ADD">
        <w:rPr>
          <w:rFonts w:eastAsiaTheme="minorEastAsia" w:cs="Calibri"/>
          <w:b/>
          <w:noProof/>
          <w:sz w:val="16"/>
          <w:szCs w:val="16"/>
          <w:lang w:val="en-GB" w:eastAsia="en-GB"/>
        </w:rPr>
        <w:drawing>
          <wp:anchor distT="0" distB="0" distL="114300" distR="114300" simplePos="0" relativeHeight="251790336" behindDoc="0" locked="0" layoutInCell="1" allowOverlap="1" wp14:anchorId="4755A1D7" wp14:editId="3B2E9D42">
            <wp:simplePos x="0" y="0"/>
            <wp:positionH relativeFrom="page">
              <wp:posOffset>4227830</wp:posOffset>
            </wp:positionH>
            <wp:positionV relativeFrom="page">
              <wp:posOffset>7075170</wp:posOffset>
            </wp:positionV>
            <wp:extent cx="2321781" cy="1502410"/>
            <wp:effectExtent l="0" t="0" r="0" b="2540"/>
            <wp:wrapNone/>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bookmarkEnd w:id="0"/>
      <w:r w:rsidR="00D66A00"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5216" behindDoc="0" locked="0" layoutInCell="1" allowOverlap="1" wp14:anchorId="10EFE3D4" wp14:editId="5E03E78C">
                <wp:simplePos x="0" y="0"/>
                <wp:positionH relativeFrom="column">
                  <wp:posOffset>-745407</wp:posOffset>
                </wp:positionH>
                <wp:positionV relativeFrom="paragraph">
                  <wp:posOffset>1563812</wp:posOffset>
                </wp:positionV>
                <wp:extent cx="2082165" cy="38961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082165" cy="389614"/>
                        </a:xfrm>
                        <a:prstGeom prst="rect">
                          <a:avLst/>
                        </a:prstGeom>
                        <a:noFill/>
                        <a:ln w="6350">
                          <a:noFill/>
                        </a:ln>
                      </wps:spPr>
                      <wps:txbx>
                        <w:txbxContent>
                          <w:p w:rsidR="009B7A12" w:rsidRPr="00D66A00" w:rsidRDefault="009B7A12" w:rsidP="00E73BFB">
                            <w:pPr>
                              <w:suppressOverlap/>
                              <w:rPr>
                                <w:rFonts w:eastAsiaTheme="minorEastAsia" w:cs="Calibri"/>
                                <w:b/>
                                <w:bCs/>
                                <w:color w:val="003C96" w:themeColor="text2"/>
                                <w:sz w:val="18"/>
                                <w:szCs w:val="18"/>
                              </w:rPr>
                            </w:pPr>
                            <w:r>
                              <w:rPr>
                                <w:rFonts w:eastAsiaTheme="minorEastAsia" w:cs="Calibri"/>
                                <w:b/>
                                <w:bCs/>
                                <w:color w:val="003C96" w:themeColor="text2"/>
                                <w:sz w:val="18"/>
                                <w:szCs w:val="18"/>
                              </w:rPr>
                              <w:t xml:space="preserve">Βασικά Τραπεζικά Έσοδα </w:t>
                            </w:r>
                            <w:r w:rsidRPr="00D66A00">
                              <w:rPr>
                                <w:rFonts w:eastAsiaTheme="minorEastAsia" w:cs="Calibri"/>
                                <w:b/>
                                <w:bCs/>
                                <w:color w:val="003C96" w:themeColor="text2"/>
                                <w:sz w:val="18"/>
                                <w:szCs w:val="18"/>
                              </w:rPr>
                              <w:t>(€</w:t>
                            </w:r>
                            <w:r>
                              <w:rPr>
                                <w:rFonts w:eastAsiaTheme="minorEastAsia" w:cs="Calibri"/>
                                <w:b/>
                                <w:bCs/>
                                <w:color w:val="003C96" w:themeColor="text2"/>
                                <w:sz w:val="18"/>
                                <w:szCs w:val="18"/>
                              </w:rPr>
                              <w:t>εκατ</w:t>
                            </w:r>
                            <w:r w:rsidRPr="00D66A00">
                              <w:rPr>
                                <w:rFonts w:eastAsiaTheme="minorEastAsia" w:cs="Calibri"/>
                                <w:b/>
                                <w:bCs/>
                                <w:color w:val="003C96" w:themeColor="text2"/>
                                <w:sz w:val="18"/>
                                <w:szCs w:val="18"/>
                              </w:rPr>
                              <w:t>.)</w:t>
                            </w:r>
                          </w:p>
                          <w:p w:rsidR="009B7A12" w:rsidRPr="00D66A00" w:rsidRDefault="009B7A12" w:rsidP="00E73BFB">
                            <w:pPr>
                              <w:rPr>
                                <w:rFonts w:eastAsiaTheme="minorEastAsia" w:cs="Calibri"/>
                                <w:b/>
                                <w:bCs/>
                                <w:color w:val="003C96"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FE3D4" id="_x0000_t202" coordsize="21600,21600" o:spt="202" path="m,l,21600r21600,l21600,xe">
                <v:stroke joinstyle="miter"/>
                <v:path gradientshapeok="t" o:connecttype="rect"/>
              </v:shapetype>
              <v:shape id="Text Box 34" o:spid="_x0000_s1033" type="#_x0000_t202" style="position:absolute;margin-left:-58.7pt;margin-top:123.15pt;width:163.95pt;height:30.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" filled="f" stroked="f" strokeweight=".5pt">
                <v:textbox>
                  <w:txbxContent>
                    <w:p w:rsidR="009B7A12" w:rsidRPr="00D66A00" w:rsidRDefault="009B7A12" w:rsidP="00E73BFB">
                      <w:pPr>
                        <w:suppressOverlap/>
                        <w:rPr>
                          <w:rFonts w:eastAsiaTheme="minorEastAsia" w:cs="Calibri"/>
                          <w:b/>
                          <w:bCs/>
                          <w:color w:val="003C96" w:themeColor="text2"/>
                          <w:sz w:val="18"/>
                          <w:szCs w:val="18"/>
                        </w:rPr>
                      </w:pPr>
                      <w:r>
                        <w:rPr>
                          <w:rFonts w:eastAsiaTheme="minorEastAsia" w:cs="Calibri"/>
                          <w:b/>
                          <w:bCs/>
                          <w:color w:val="003C96" w:themeColor="text2"/>
                          <w:sz w:val="18"/>
                          <w:szCs w:val="18"/>
                        </w:rPr>
                        <w:t xml:space="preserve">Βασικά Τραπεζικά Έσοδα </w:t>
                      </w:r>
                      <w:r w:rsidRPr="00D66A00">
                        <w:rPr>
                          <w:rFonts w:eastAsiaTheme="minorEastAsia" w:cs="Calibri"/>
                          <w:b/>
                          <w:bCs/>
                          <w:color w:val="003C96" w:themeColor="text2"/>
                          <w:sz w:val="18"/>
                          <w:szCs w:val="18"/>
                        </w:rPr>
                        <w:t>(€</w:t>
                      </w:r>
                      <w:r>
                        <w:rPr>
                          <w:rFonts w:eastAsiaTheme="minorEastAsia" w:cs="Calibri"/>
                          <w:b/>
                          <w:bCs/>
                          <w:color w:val="003C96" w:themeColor="text2"/>
                          <w:sz w:val="18"/>
                          <w:szCs w:val="18"/>
                        </w:rPr>
                        <w:t>εκατ</w:t>
                      </w:r>
                      <w:r w:rsidRPr="00D66A00">
                        <w:rPr>
                          <w:rFonts w:eastAsiaTheme="minorEastAsia" w:cs="Calibri"/>
                          <w:b/>
                          <w:bCs/>
                          <w:color w:val="003C96" w:themeColor="text2"/>
                          <w:sz w:val="18"/>
                          <w:szCs w:val="18"/>
                        </w:rPr>
                        <w:t>.)</w:t>
                      </w:r>
                    </w:p>
                    <w:p w:rsidR="009B7A12" w:rsidRPr="00D66A00" w:rsidRDefault="009B7A12" w:rsidP="00E73BFB">
                      <w:pPr>
                        <w:rPr>
                          <w:rFonts w:eastAsiaTheme="minorEastAsia" w:cs="Calibri"/>
                          <w:b/>
                          <w:bCs/>
                          <w:color w:val="003C96" w:themeColor="text2"/>
                          <w:sz w:val="18"/>
                          <w:szCs w:val="18"/>
                        </w:rPr>
                      </w:pPr>
                    </w:p>
                  </w:txbxContent>
                </v:textbox>
              </v:shape>
            </w:pict>
          </mc:Fallback>
        </mc:AlternateContent>
      </w:r>
      <w:r w:rsidR="00E73BFB" w:rsidRPr="00245ADD">
        <w:rPr>
          <w:rFonts w:ascii="Calibri" w:eastAsiaTheme="minorEastAsia" w:hAnsi="Calibri" w:cs="Calibri"/>
          <w:noProof/>
          <w:color w:val="0D0D0D" w:themeColor="text1" w:themeTint="F2"/>
          <w:sz w:val="14"/>
          <w:szCs w:val="18"/>
          <w:lang w:val="en-GB" w:eastAsia="en-GB"/>
        </w:rPr>
        <mc:AlternateContent>
          <mc:Choice Requires="wps">
            <w:drawing>
              <wp:anchor distT="0" distB="0" distL="114300" distR="114300" simplePos="0" relativeHeight="251783168" behindDoc="0" locked="0" layoutInCell="1" allowOverlap="1" wp14:anchorId="0653B2E3" wp14:editId="540273FF">
                <wp:simplePos x="0" y="0"/>
                <wp:positionH relativeFrom="column">
                  <wp:posOffset>2296464</wp:posOffset>
                </wp:positionH>
                <wp:positionV relativeFrom="paragraph">
                  <wp:posOffset>1563370</wp:posOffset>
                </wp:positionV>
                <wp:extent cx="2082165" cy="4051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82165" cy="405130"/>
                        </a:xfrm>
                        <a:prstGeom prst="rect">
                          <a:avLst/>
                        </a:prstGeom>
                        <a:noFill/>
                        <a:ln w="6350">
                          <a:noFill/>
                        </a:ln>
                      </wps:spPr>
                      <wps:txbx>
                        <w:txbxContent>
                          <w:p w:rsidR="009B7A12" w:rsidRPr="00956A70" w:rsidRDefault="009B7A12" w:rsidP="00E67719">
                            <w:pPr>
                              <w:rPr>
                                <w:rFonts w:eastAsiaTheme="minorEastAsia" w:cs="Calibri"/>
                                <w:b/>
                                <w:bCs/>
                                <w:color w:val="003C96" w:themeColor="text2"/>
                                <w:sz w:val="18"/>
                                <w:szCs w:val="18"/>
                              </w:rPr>
                            </w:pPr>
                            <w:r>
                              <w:rPr>
                                <w:rFonts w:eastAsiaTheme="minorEastAsia" w:cs="Calibri"/>
                                <w:b/>
                                <w:bCs/>
                                <w:color w:val="003C96" w:themeColor="text2"/>
                                <w:sz w:val="18"/>
                                <w:szCs w:val="18"/>
                              </w:rPr>
                              <w:t>Επαναλαμβανόμενο Κόστος</w:t>
                            </w:r>
                            <w:r w:rsidRPr="00956A70">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εκατ.</w:t>
                            </w:r>
                            <w:r w:rsidRPr="00956A70">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 xml:space="preserve">   </w:t>
                            </w:r>
                            <w:r w:rsidRPr="00956A70">
                              <w:rPr>
                                <w:rFonts w:eastAsiaTheme="minorEastAsia" w:cs="Calibri"/>
                                <w:b/>
                                <w:bCs/>
                                <w:color w:val="003C96" w:themeColor="text2"/>
                                <w:sz w:val="18"/>
                                <w:szCs w:val="18"/>
                              </w:rPr>
                              <w:t>(</w:t>
                            </w:r>
                            <w:r>
                              <w:rPr>
                                <w:rFonts w:eastAsiaTheme="minorEastAsia" w:cs="Calibri"/>
                                <w:b/>
                                <w:bCs/>
                                <w:color w:val="003C96" w:themeColor="text2"/>
                                <w:sz w:val="18"/>
                                <w:szCs w:val="18"/>
                              </w:rPr>
                              <w:t>σε συγκρίσιμη βάση</w:t>
                            </w:r>
                            <w:r w:rsidRPr="00956A70">
                              <w:rPr>
                                <w:rFonts w:eastAsiaTheme="minorEastAsia" w:cs="Calibri"/>
                                <w:b/>
                                <w:bCs/>
                                <w:color w:val="003C96"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B2E3" id="Text Box 17" o:spid="_x0000_s1034" type="#_x0000_t202" style="position:absolute;margin-left:180.8pt;margin-top:123.1pt;width:163.95pt;height:31.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OkMgIAAFo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" filled="f" stroked="f" strokeweight=".5pt">
                <v:textbox>
                  <w:txbxContent>
                    <w:p w:rsidR="009B7A12" w:rsidRPr="00956A70" w:rsidRDefault="009B7A12" w:rsidP="00E67719">
                      <w:pPr>
                        <w:rPr>
                          <w:rFonts w:eastAsiaTheme="minorEastAsia" w:cs="Calibri"/>
                          <w:b/>
                          <w:bCs/>
                          <w:color w:val="003C96" w:themeColor="text2"/>
                          <w:sz w:val="18"/>
                          <w:szCs w:val="18"/>
                        </w:rPr>
                      </w:pPr>
                      <w:r>
                        <w:rPr>
                          <w:rFonts w:eastAsiaTheme="minorEastAsia" w:cs="Calibri"/>
                          <w:b/>
                          <w:bCs/>
                          <w:color w:val="003C96" w:themeColor="text2"/>
                          <w:sz w:val="18"/>
                          <w:szCs w:val="18"/>
                        </w:rPr>
                        <w:t>Επαναλαμβανόμενο Κόστος</w:t>
                      </w:r>
                      <w:r w:rsidRPr="00956A70">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εκατ.</w:t>
                      </w:r>
                      <w:r w:rsidRPr="00956A70">
                        <w:rPr>
                          <w:rFonts w:eastAsiaTheme="minorEastAsia" w:cs="Calibri"/>
                          <w:b/>
                          <w:bCs/>
                          <w:color w:val="003C96" w:themeColor="text2"/>
                          <w:sz w:val="18"/>
                          <w:szCs w:val="18"/>
                        </w:rPr>
                        <w:t xml:space="preserve">) </w:t>
                      </w:r>
                      <w:r>
                        <w:rPr>
                          <w:rFonts w:eastAsiaTheme="minorEastAsia" w:cs="Calibri"/>
                          <w:b/>
                          <w:bCs/>
                          <w:color w:val="003C96" w:themeColor="text2"/>
                          <w:sz w:val="18"/>
                          <w:szCs w:val="18"/>
                        </w:rPr>
                        <w:t xml:space="preserve">   </w:t>
                      </w:r>
                      <w:r w:rsidRPr="00956A70">
                        <w:rPr>
                          <w:rFonts w:eastAsiaTheme="minorEastAsia" w:cs="Calibri"/>
                          <w:b/>
                          <w:bCs/>
                          <w:color w:val="003C96" w:themeColor="text2"/>
                          <w:sz w:val="18"/>
                          <w:szCs w:val="18"/>
                        </w:rPr>
                        <w:t>(</w:t>
                      </w:r>
                      <w:r>
                        <w:rPr>
                          <w:rFonts w:eastAsiaTheme="minorEastAsia" w:cs="Calibri"/>
                          <w:b/>
                          <w:bCs/>
                          <w:color w:val="003C96" w:themeColor="text2"/>
                          <w:sz w:val="18"/>
                          <w:szCs w:val="18"/>
                        </w:rPr>
                        <w:t>σε συγκρίσιμη βάση</w:t>
                      </w:r>
                      <w:r w:rsidRPr="00956A70">
                        <w:rPr>
                          <w:rFonts w:eastAsiaTheme="minorEastAsia" w:cs="Calibri"/>
                          <w:b/>
                          <w:bCs/>
                          <w:color w:val="003C96" w:themeColor="text2"/>
                          <w:sz w:val="18"/>
                          <w:szCs w:val="18"/>
                        </w:rPr>
                        <w:t xml:space="preserve">)                                         </w:t>
                      </w:r>
                    </w:p>
                  </w:txbxContent>
                </v:textbox>
              </v:shape>
            </w:pict>
          </mc:Fallback>
        </mc:AlternateContent>
      </w:r>
      <w:r w:rsidR="00E67719" w:rsidRPr="001C793F">
        <w:rPr>
          <w:rFonts w:eastAsiaTheme="minorEastAsia" w:cs="Calibri"/>
          <w:color w:val="003C96" w:themeColor="text2"/>
          <w:sz w:val="28"/>
          <w:szCs w:val="28"/>
        </w:rPr>
        <w:br w:type="page"/>
      </w:r>
    </w:p>
    <w:p w:rsidR="00FB5E4C" w:rsidRPr="003E3845" w:rsidRDefault="003E3845" w:rsidP="00E67719">
      <w:pPr>
        <w:rPr>
          <w:rFonts w:eastAsiaTheme="minorEastAsia" w:cs="Calibri"/>
          <w:color w:val="003C96" w:themeColor="text2"/>
          <w:sz w:val="28"/>
          <w:szCs w:val="28"/>
        </w:rPr>
      </w:pPr>
      <w:r>
        <w:rPr>
          <w:rFonts w:eastAsiaTheme="minorEastAsia" w:cs="Calibri"/>
          <w:color w:val="003C96" w:themeColor="text2"/>
          <w:sz w:val="28"/>
          <w:szCs w:val="28"/>
        </w:rPr>
        <w:lastRenderedPageBreak/>
        <w:t>ΓΛΩΣΣΑΡΙ</w:t>
      </w:r>
      <w:r w:rsidR="000A5338" w:rsidRPr="003E3845">
        <w:rPr>
          <w:rFonts w:eastAsiaTheme="minorEastAsia" w:cs="Calibri"/>
          <w:color w:val="003C96" w:themeColor="text2"/>
          <w:sz w:val="28"/>
          <w:szCs w:val="28"/>
        </w:rPr>
        <w:t xml:space="preserve"> / </w:t>
      </w:r>
      <w:r>
        <w:rPr>
          <w:rFonts w:eastAsiaTheme="minorEastAsia" w:cs="Calibri"/>
          <w:color w:val="003C96" w:themeColor="text2"/>
          <w:sz w:val="28"/>
          <w:szCs w:val="28"/>
        </w:rPr>
        <w:t xml:space="preserve">ΕΝΑΛΛΑΚΤΙΚΗ ΔΕΙΚΤΕΣ ΜΕΤΡΗΣΗΣ ΑΠΟΔΟΣΗΣ </w:t>
      </w:r>
      <w:r w:rsidR="00FB5E4C" w:rsidRPr="003E3845">
        <w:rPr>
          <w:rFonts w:eastAsiaTheme="minorEastAsia" w:cs="Calibri"/>
          <w:color w:val="003C96" w:themeColor="text2"/>
          <w:sz w:val="28"/>
          <w:szCs w:val="28"/>
        </w:rPr>
        <w:t>(</w:t>
      </w:r>
      <w:r>
        <w:rPr>
          <w:rFonts w:eastAsiaTheme="minorEastAsia" w:cs="Calibri"/>
          <w:color w:val="003C96" w:themeColor="text2"/>
          <w:sz w:val="28"/>
          <w:szCs w:val="28"/>
        </w:rPr>
        <w:t>ΕΔΜΑ</w:t>
      </w:r>
      <w:r w:rsidR="00FB5E4C" w:rsidRPr="003E3845">
        <w:rPr>
          <w:rFonts w:eastAsiaTheme="minorEastAsia" w:cs="Calibri"/>
          <w:color w:val="003C96" w:themeColor="text2"/>
          <w:sz w:val="28"/>
          <w:szCs w:val="28"/>
        </w:rPr>
        <w:t xml:space="preserve">) </w:t>
      </w:r>
      <w:r>
        <w:rPr>
          <w:rFonts w:eastAsiaTheme="minorEastAsia" w:cs="Calibri"/>
          <w:color w:val="003C96" w:themeColor="text2"/>
          <w:sz w:val="28"/>
          <w:szCs w:val="28"/>
        </w:rPr>
        <w:t>ΣΕ ΕΠΙΠΕΔΟ ΟΜΙΛΟΥ</w:t>
      </w:r>
    </w:p>
    <w:tbl>
      <w:tblPr>
        <w:tblW w:w="8520" w:type="dxa"/>
        <w:tblInd w:w="-1005" w:type="dxa"/>
        <w:tblBorders>
          <w:top w:val="single" w:sz="4" w:space="0" w:color="001E4B" w:themeColor="text2" w:themeShade="80"/>
          <w:left w:val="single" w:sz="4" w:space="0" w:color="001E4B" w:themeColor="text2" w:themeShade="80"/>
          <w:bottom w:val="single" w:sz="4" w:space="0" w:color="001E4B" w:themeColor="text2" w:themeShade="80"/>
          <w:right w:val="single" w:sz="4" w:space="0" w:color="001E4B" w:themeColor="text2" w:themeShade="80"/>
          <w:insideH w:val="single" w:sz="4" w:space="0" w:color="001E4B" w:themeColor="text2" w:themeShade="80"/>
          <w:insideV w:val="single" w:sz="4" w:space="0" w:color="001E4B" w:themeColor="text2" w:themeShade="80"/>
        </w:tblBorders>
        <w:tblCellMar>
          <w:left w:w="0" w:type="dxa"/>
          <w:right w:w="0" w:type="dxa"/>
        </w:tblCellMar>
        <w:tblLook w:val="04A0" w:firstRow="1" w:lastRow="0" w:firstColumn="1" w:lastColumn="0" w:noHBand="0" w:noVBand="1"/>
      </w:tblPr>
      <w:tblGrid>
        <w:gridCol w:w="1155"/>
        <w:gridCol w:w="2295"/>
        <w:gridCol w:w="5070"/>
      </w:tblGrid>
      <w:tr w:rsidR="00F43CEE" w:rsidRPr="00234BBD" w:rsidTr="00C822DB">
        <w:trPr>
          <w:trHeight w:val="375"/>
        </w:trPr>
        <w:tc>
          <w:tcPr>
            <w:tcW w:w="1155" w:type="dxa"/>
            <w:shd w:val="clear" w:color="auto" w:fill="auto"/>
            <w:vAlign w:val="center"/>
            <w:hideMark/>
          </w:tcPr>
          <w:p w:rsidR="00F43CEE" w:rsidRPr="00234BBD" w:rsidRDefault="00F43CEE" w:rsidP="00C822DB">
            <w:pPr>
              <w:spacing w:after="0" w:line="240" w:lineRule="auto"/>
              <w:ind w:left="-105" w:right="-135"/>
              <w:jc w:val="center"/>
              <w:textAlignment w:val="baseline"/>
              <w:rPr>
                <w:rFonts w:ascii="Times New Roman" w:eastAsia="Times New Roman" w:hAnsi="Times New Roman" w:cs="Times New Roman"/>
                <w:sz w:val="24"/>
                <w:szCs w:val="24"/>
                <w:lang w:eastAsia="en-GB"/>
              </w:rPr>
            </w:pPr>
            <w:r w:rsidRPr="00234BBD">
              <w:rPr>
                <w:b/>
                <w:color w:val="002060"/>
                <w:sz w:val="16"/>
                <w:szCs w:val="16"/>
                <w:lang w:val="el"/>
              </w:rPr>
              <w:t>#</w:t>
            </w:r>
          </w:p>
        </w:tc>
        <w:tc>
          <w:tcPr>
            <w:tcW w:w="2295" w:type="dxa"/>
            <w:shd w:val="clear" w:color="auto" w:fill="auto"/>
            <w:vAlign w:val="center"/>
            <w:hideMark/>
          </w:tcPr>
          <w:p w:rsidR="00F43CEE" w:rsidRPr="00234BBD" w:rsidRDefault="00F43CEE" w:rsidP="00C822DB">
            <w:pPr>
              <w:spacing w:after="0" w:line="240" w:lineRule="auto"/>
              <w:textAlignment w:val="baseline"/>
              <w:rPr>
                <w:rFonts w:ascii="Times New Roman" w:eastAsia="Times New Roman" w:hAnsi="Times New Roman" w:cs="Times New Roman"/>
                <w:sz w:val="24"/>
                <w:szCs w:val="24"/>
                <w:lang w:eastAsia="en-GB"/>
              </w:rPr>
            </w:pPr>
            <w:r>
              <w:rPr>
                <w:b/>
                <w:color w:val="002060"/>
                <w:sz w:val="16"/>
                <w:szCs w:val="16"/>
                <w:lang w:val="el"/>
              </w:rPr>
              <w:t xml:space="preserve">Δείκτης </w:t>
            </w:r>
            <w:r w:rsidRPr="00234BBD">
              <w:rPr>
                <w:b/>
                <w:color w:val="002060"/>
                <w:sz w:val="16"/>
                <w:szCs w:val="16"/>
                <w:lang w:val="el"/>
              </w:rPr>
              <w:t>Μέτρ</w:t>
            </w:r>
            <w:r>
              <w:rPr>
                <w:b/>
                <w:color w:val="002060"/>
                <w:sz w:val="16"/>
                <w:szCs w:val="16"/>
                <w:lang w:val="el"/>
              </w:rPr>
              <w:t>ησης</w:t>
            </w:r>
            <w:r w:rsidRPr="00234BBD">
              <w:rPr>
                <w:b/>
                <w:color w:val="002060"/>
                <w:sz w:val="16"/>
                <w:szCs w:val="16"/>
                <w:lang w:val="el"/>
              </w:rPr>
              <w:t xml:space="preserve"> </w:t>
            </w:r>
            <w:r>
              <w:rPr>
                <w:b/>
                <w:color w:val="002060"/>
                <w:sz w:val="16"/>
                <w:szCs w:val="16"/>
                <w:lang w:val="el"/>
              </w:rPr>
              <w:t>Α</w:t>
            </w:r>
            <w:r w:rsidRPr="00234BBD">
              <w:rPr>
                <w:b/>
                <w:color w:val="002060"/>
                <w:sz w:val="16"/>
                <w:szCs w:val="16"/>
                <w:lang w:val="el"/>
              </w:rPr>
              <w:t>πόδοσης</w:t>
            </w:r>
          </w:p>
        </w:tc>
        <w:tc>
          <w:tcPr>
            <w:tcW w:w="5070" w:type="dxa"/>
            <w:shd w:val="clear" w:color="auto" w:fill="auto"/>
            <w:vAlign w:val="center"/>
            <w:hideMark/>
          </w:tcPr>
          <w:p w:rsidR="00F43CEE" w:rsidRPr="00081BEA" w:rsidRDefault="00F43CEE" w:rsidP="00C822DB">
            <w:pPr>
              <w:spacing w:after="0" w:line="240" w:lineRule="auto"/>
              <w:textAlignment w:val="baseline"/>
              <w:rPr>
                <w:rFonts w:ascii="Times New Roman" w:eastAsia="Times New Roman" w:hAnsi="Times New Roman" w:cs="Times New Roman"/>
                <w:sz w:val="24"/>
                <w:szCs w:val="24"/>
                <w:lang w:eastAsia="en-GB"/>
              </w:rPr>
            </w:pPr>
            <w:r w:rsidRPr="00081BEA">
              <w:rPr>
                <w:b/>
                <w:color w:val="002060"/>
                <w:sz w:val="16"/>
                <w:szCs w:val="16"/>
                <w:lang w:val="el"/>
              </w:rPr>
              <w:t>Επεξήγηση</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eastAsia="Times New Roman" w:cstheme="minorHAnsi"/>
                <w:sz w:val="16"/>
                <w:szCs w:val="16"/>
                <w:lang w:eastAsia="en-GB"/>
              </w:rPr>
            </w:pPr>
            <w:r w:rsidRPr="00F3438E">
              <w:rPr>
                <w:rFonts w:cstheme="minorHAnsi"/>
                <w:color w:val="002060"/>
                <w:sz w:val="16"/>
                <w:szCs w:val="16"/>
                <w:lang w:val="el"/>
              </w:rPr>
              <w:t>1</w:t>
            </w:r>
          </w:p>
        </w:tc>
        <w:tc>
          <w:tcPr>
            <w:tcW w:w="2295" w:type="dxa"/>
            <w:shd w:val="clear" w:color="auto" w:fill="FFFFFF"/>
            <w:vAlign w:val="center"/>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w:t>
            </w:r>
          </w:p>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Μη επαναλαμβανόμενα  (εφάπαξ) στοιχεία αποτελεσμάτων</w:t>
            </w:r>
          </w:p>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w:t>
            </w:r>
          </w:p>
        </w:tc>
        <w:tc>
          <w:tcPr>
            <w:tcW w:w="5070" w:type="dxa"/>
            <w:shd w:val="clear" w:color="auto" w:fill="FFFFFF"/>
            <w:vAlign w:val="center"/>
            <w:hideMark/>
          </w:tcPr>
          <w:p w:rsidR="00F43CEE" w:rsidRPr="00DC42F4" w:rsidRDefault="00F43CEE" w:rsidP="00C822DB">
            <w:pPr>
              <w:spacing w:after="0" w:line="240" w:lineRule="auto"/>
              <w:textAlignment w:val="baseline"/>
              <w:rPr>
                <w:rFonts w:cstheme="minorHAnsi"/>
                <w:color w:val="000000"/>
                <w:sz w:val="16"/>
                <w:szCs w:val="16"/>
                <w:lang w:val="el"/>
              </w:rPr>
            </w:pPr>
            <w:r w:rsidRPr="00DC42F4">
              <w:rPr>
                <w:rFonts w:cstheme="minorHAnsi"/>
                <w:color w:val="000000"/>
                <w:sz w:val="16"/>
                <w:szCs w:val="16"/>
                <w:lang w:val="el"/>
              </w:rPr>
              <w:t>Τα μη επαναλαμβανόμενα στοιχεία για το 4</w:t>
            </w:r>
            <w:r w:rsidRPr="00DC42F4">
              <w:rPr>
                <w:rFonts w:cstheme="minorHAnsi"/>
                <w:color w:val="000000"/>
                <w:sz w:val="16"/>
                <w:szCs w:val="16"/>
                <w:vertAlign w:val="superscript"/>
                <w:lang w:val="el"/>
              </w:rPr>
              <w:t>ο</w:t>
            </w:r>
            <w:r w:rsidRPr="00DC42F4">
              <w:rPr>
                <w:rFonts w:cstheme="minorHAnsi"/>
                <w:color w:val="000000"/>
                <w:sz w:val="16"/>
                <w:szCs w:val="16"/>
                <w:lang w:val="el"/>
              </w:rPr>
              <w:t xml:space="preserve"> 3μηνο 2019 περιλαμβάνουν €351εκατ. κέρδος από την απόσχιση της πλατφόρμας εξυπηρέτησης ΜΕΑ (στα κέρδη από πώληση χρηματοοικονομικών στοιχείων), και €5mn άλλες αντισταθμιστικές προσαρμογές δαπανών (στα λειτουργικά έξοδα). Τα μη επαναλαμβανόμενα λειτουργικά έξοδα για το 2018 περιλαμβάνουν €154εκατ. δαπάνες προγράμματος εθελούσιας εξόδου VES και €</w:t>
            </w:r>
            <w:r w:rsidRPr="00DC42F4">
              <w:rPr>
                <w:rFonts w:cstheme="minorHAnsi"/>
                <w:color w:val="000000"/>
                <w:sz w:val="16"/>
                <w:szCs w:val="16"/>
              </w:rPr>
              <w:t>34</w:t>
            </w:r>
            <w:r w:rsidRPr="00DC42F4">
              <w:rPr>
                <w:rFonts w:cstheme="minorHAnsi"/>
                <w:color w:val="000000"/>
                <w:sz w:val="16"/>
                <w:szCs w:val="16"/>
                <w:lang w:val="el"/>
              </w:rPr>
              <w:t>εκατ. άλλες αντισταθμιστικές προσαρμογές δαπανών και για το 2019</w:t>
            </w:r>
            <w:r w:rsidRPr="00DC42F4">
              <w:rPr>
                <w:rFonts w:cstheme="minorHAnsi"/>
                <w:color w:val="000000"/>
                <w:sz w:val="16"/>
                <w:szCs w:val="16"/>
              </w:rPr>
              <w:t xml:space="preserve"> </w:t>
            </w:r>
            <w:r w:rsidRPr="00DC42F4">
              <w:rPr>
                <w:rFonts w:cstheme="minorHAnsi"/>
                <w:color w:val="000000"/>
                <w:sz w:val="16"/>
                <w:szCs w:val="16"/>
                <w:lang w:val="el"/>
              </w:rPr>
              <w:t>€36</w:t>
            </w:r>
            <w:r w:rsidRPr="00DC42F4">
              <w:rPr>
                <w:rFonts w:cstheme="minorHAnsi"/>
                <w:color w:val="000000"/>
                <w:sz w:val="16"/>
                <w:szCs w:val="16"/>
              </w:rPr>
              <w:t xml:space="preserve">εκατ.  </w:t>
            </w:r>
            <w:r w:rsidRPr="00DC42F4">
              <w:rPr>
                <w:rFonts w:cstheme="minorHAnsi"/>
                <w:color w:val="000000"/>
                <w:sz w:val="16"/>
                <w:szCs w:val="16"/>
                <w:lang w:val="el"/>
              </w:rPr>
              <w:t>δαπάνες προγράμματος εθελούσιας εξόδου VES και €</w:t>
            </w:r>
            <w:r w:rsidRPr="00DC42F4">
              <w:rPr>
                <w:rFonts w:cstheme="minorHAnsi"/>
                <w:color w:val="000000"/>
                <w:sz w:val="16"/>
                <w:szCs w:val="16"/>
              </w:rPr>
              <w:t>5</w:t>
            </w:r>
            <w:r w:rsidRPr="00DC42F4">
              <w:rPr>
                <w:rFonts w:cstheme="minorHAnsi"/>
                <w:color w:val="000000"/>
                <w:sz w:val="16"/>
                <w:szCs w:val="16"/>
                <w:lang w:val="el"/>
              </w:rPr>
              <w:t xml:space="preserve">εκατ. άλλες αντισταθμιστικές προσαρμογές δαπανών. </w:t>
            </w:r>
          </w:p>
        </w:tc>
      </w:tr>
      <w:tr w:rsidR="00F43CEE" w:rsidRPr="00773387" w:rsidTr="00C822DB">
        <w:trPr>
          <w:trHeight w:val="1064"/>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sidRPr="00F3438E">
              <w:rPr>
                <w:rFonts w:cstheme="minorHAnsi"/>
                <w:color w:val="002060"/>
                <w:sz w:val="16"/>
                <w:szCs w:val="16"/>
                <w:lang w:val="el"/>
              </w:rPr>
              <w:t>2</w:t>
            </w:r>
          </w:p>
        </w:tc>
        <w:tc>
          <w:tcPr>
            <w:tcW w:w="2295" w:type="dxa"/>
            <w:shd w:val="clear" w:color="auto" w:fill="auto"/>
            <w:vAlign w:val="center"/>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 xml:space="preserve">Συνολικό Προσαρμοσμένο Ενεργητικό </w:t>
            </w:r>
          </w:p>
        </w:tc>
        <w:tc>
          <w:tcPr>
            <w:tcW w:w="5070" w:type="dxa"/>
            <w:shd w:val="clear" w:color="auto" w:fill="FFFFFF"/>
            <w:hideMark/>
          </w:tcPr>
          <w:p w:rsidR="00F43CEE" w:rsidRPr="00DC42F4" w:rsidRDefault="00F43CEE" w:rsidP="00C822DB">
            <w:pPr>
              <w:spacing w:after="0" w:line="240" w:lineRule="auto"/>
              <w:textAlignment w:val="baseline"/>
              <w:rPr>
                <w:rFonts w:eastAsia="Times New Roman" w:cstheme="minorHAnsi"/>
                <w:iCs/>
                <w:sz w:val="16"/>
                <w:szCs w:val="16"/>
                <w:lang w:eastAsia="en-GB"/>
              </w:rPr>
            </w:pPr>
            <w:r w:rsidRPr="00DC42F4">
              <w:rPr>
                <w:rFonts w:eastAsia="Times New Roman" w:cstheme="minorHAnsi"/>
                <w:sz w:val="16"/>
                <w:szCs w:val="16"/>
                <w:lang w:eastAsia="en-GB"/>
              </w:rPr>
              <w:t xml:space="preserve">Σύνολο ενεργητικού εξαιρουμένων: 1) </w:t>
            </w:r>
            <w:r w:rsidRPr="00DC42F4">
              <w:rPr>
                <w:rFonts w:eastAsia="Times New Roman" w:cstheme="minorHAnsi"/>
                <w:iCs/>
                <w:sz w:val="16"/>
                <w:szCs w:val="16"/>
                <w:lang w:eastAsia="en-GB"/>
              </w:rPr>
              <w:t xml:space="preserve">€1,2δισ. στις 31 Μαρτίου 2019 των διακοπτόμενων δραστηριοτήτων στη Βουλγαρία και άλλων διακοπτόμενων δραστηριοτήτων  </w:t>
            </w:r>
            <w:r w:rsidRPr="00DC42F4">
              <w:rPr>
                <w:rFonts w:eastAsia="Times New Roman" w:cstheme="minorHAnsi"/>
                <w:iCs/>
                <w:sz w:val="16"/>
                <w:szCs w:val="16"/>
                <w:lang w:val="el" w:eastAsia="en-GB"/>
              </w:rPr>
              <w:t>2) €1,7</w:t>
            </w:r>
            <w:r w:rsidRPr="00DC42F4">
              <w:rPr>
                <w:rFonts w:eastAsia="Times New Roman" w:cstheme="minorHAnsi"/>
                <w:iCs/>
                <w:sz w:val="16"/>
                <w:szCs w:val="16"/>
                <w:lang w:eastAsia="en-GB"/>
              </w:rPr>
              <w:t>δισ.</w:t>
            </w:r>
            <w:r w:rsidRPr="00DC42F4">
              <w:rPr>
                <w:rFonts w:eastAsia="Times New Roman" w:cstheme="minorHAnsi"/>
                <w:iCs/>
                <w:sz w:val="16"/>
                <w:szCs w:val="16"/>
                <w:lang w:val="el" w:eastAsia="en-GB"/>
              </w:rPr>
              <w:t xml:space="preserve"> </w:t>
            </w:r>
            <w:r w:rsidRPr="00DC42F4">
              <w:rPr>
                <w:rFonts w:eastAsia="Times New Roman" w:cstheme="minorHAnsi"/>
                <w:iCs/>
                <w:sz w:val="16"/>
                <w:szCs w:val="16"/>
                <w:lang w:eastAsia="en-GB"/>
              </w:rPr>
              <w:t>στις 31 Δεκεμβρίου</w:t>
            </w:r>
            <w:r w:rsidRPr="00DC42F4">
              <w:rPr>
                <w:rFonts w:eastAsia="Times New Roman" w:cstheme="minorHAnsi"/>
                <w:iCs/>
                <w:sz w:val="16"/>
                <w:szCs w:val="16"/>
                <w:lang w:val="el" w:eastAsia="en-GB"/>
              </w:rPr>
              <w:t xml:space="preserve"> 2019 διακοπτόμενων δραστηριοτήτων και του εποχικού δανείου του ΟΠΕΚΕΠΕ 3) €0,1</w:t>
            </w:r>
            <w:r w:rsidRPr="00DC42F4">
              <w:rPr>
                <w:rFonts w:eastAsia="Times New Roman" w:cstheme="minorHAnsi"/>
                <w:iCs/>
                <w:sz w:val="16"/>
                <w:szCs w:val="16"/>
                <w:lang w:eastAsia="en-GB"/>
              </w:rPr>
              <w:t>δισ.</w:t>
            </w:r>
            <w:r w:rsidRPr="00DC42F4">
              <w:rPr>
                <w:rFonts w:eastAsia="Times New Roman" w:cstheme="minorHAnsi"/>
                <w:iCs/>
                <w:sz w:val="16"/>
                <w:szCs w:val="16"/>
                <w:lang w:val="el" w:eastAsia="en-GB"/>
              </w:rPr>
              <w:t xml:space="preserve"> </w:t>
            </w:r>
            <w:r w:rsidRPr="00DC42F4">
              <w:rPr>
                <w:rFonts w:eastAsia="Times New Roman" w:cstheme="minorHAnsi"/>
                <w:iCs/>
                <w:sz w:val="16"/>
                <w:szCs w:val="16"/>
                <w:lang w:eastAsia="en-GB"/>
              </w:rPr>
              <w:t>διακοπτόμενων δραστηριοτήτων στις</w:t>
            </w:r>
            <w:r w:rsidRPr="00DC42F4">
              <w:rPr>
                <w:rFonts w:eastAsia="Times New Roman" w:cstheme="minorHAnsi"/>
                <w:iCs/>
                <w:sz w:val="16"/>
                <w:szCs w:val="16"/>
                <w:lang w:val="el" w:eastAsia="en-GB"/>
              </w:rPr>
              <w:t xml:space="preserve"> 31 </w:t>
            </w:r>
            <w:r w:rsidRPr="00DC42F4">
              <w:rPr>
                <w:rFonts w:eastAsia="Times New Roman" w:cstheme="minorHAnsi"/>
                <w:iCs/>
                <w:sz w:val="16"/>
                <w:szCs w:val="16"/>
                <w:lang w:eastAsia="en-GB"/>
              </w:rPr>
              <w:t>Μαρτίου</w:t>
            </w:r>
            <w:r w:rsidRPr="00DC42F4">
              <w:rPr>
                <w:rFonts w:eastAsia="Times New Roman" w:cstheme="minorHAnsi"/>
                <w:iCs/>
                <w:sz w:val="16"/>
                <w:szCs w:val="16"/>
                <w:lang w:val="el" w:eastAsia="en-GB"/>
              </w:rPr>
              <w:t xml:space="preserve"> 2020. </w:t>
            </w:r>
          </w:p>
        </w:tc>
      </w:tr>
      <w:tr w:rsidR="00F43CEE" w:rsidRPr="00193B9E" w:rsidTr="00C822DB">
        <w:trPr>
          <w:trHeight w:val="1064"/>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sidRPr="00F3438E">
              <w:rPr>
                <w:rFonts w:cstheme="minorHAnsi"/>
                <w:color w:val="002060"/>
                <w:sz w:val="16"/>
                <w:szCs w:val="16"/>
                <w:lang w:val="el"/>
              </w:rPr>
              <w:t>3</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n-US"/>
              </w:rPr>
            </w:pPr>
            <w:r w:rsidRPr="00DC42F4">
              <w:rPr>
                <w:rFonts w:cstheme="minorHAnsi"/>
                <w:b/>
                <w:color w:val="002060"/>
                <w:sz w:val="16"/>
                <w:szCs w:val="16"/>
                <w:lang w:val="el"/>
              </w:rPr>
              <w:t xml:space="preserve">Επίπτωση του </w:t>
            </w:r>
            <w:r w:rsidRPr="00DC42F4">
              <w:rPr>
                <w:rFonts w:cstheme="minorHAnsi"/>
                <w:b/>
                <w:color w:val="002060"/>
                <w:sz w:val="16"/>
                <w:szCs w:val="16"/>
                <w:lang w:val="en-US"/>
              </w:rPr>
              <w:t>COVID-19</w:t>
            </w:r>
          </w:p>
        </w:tc>
        <w:tc>
          <w:tcPr>
            <w:tcW w:w="5070" w:type="dxa"/>
            <w:shd w:val="clear" w:color="auto" w:fill="FFFFFF"/>
          </w:tcPr>
          <w:p w:rsidR="00F43CEE" w:rsidRPr="00DC42F4" w:rsidRDefault="00F43CEE" w:rsidP="00F43CEE">
            <w:pPr>
              <w:spacing w:after="0" w:line="240" w:lineRule="auto"/>
              <w:textAlignment w:val="baseline"/>
              <w:rPr>
                <w:rFonts w:eastAsia="Times New Roman" w:cstheme="minorHAnsi"/>
                <w:iCs/>
                <w:sz w:val="16"/>
                <w:szCs w:val="16"/>
                <w:lang w:eastAsia="en-GB"/>
              </w:rPr>
            </w:pPr>
            <w:r w:rsidRPr="00DC42F4">
              <w:rPr>
                <w:rFonts w:eastAsia="Times New Roman" w:cstheme="minorHAnsi"/>
                <w:iCs/>
                <w:sz w:val="16"/>
                <w:szCs w:val="16"/>
                <w:lang w:eastAsia="en-GB"/>
              </w:rPr>
              <w:t xml:space="preserve">Η επίπτωση του </w:t>
            </w:r>
            <w:r w:rsidRPr="00DC42F4">
              <w:rPr>
                <w:rFonts w:eastAsia="Times New Roman" w:cstheme="minorHAnsi"/>
                <w:iCs/>
                <w:sz w:val="16"/>
                <w:szCs w:val="16"/>
                <w:lang w:val="en-US" w:eastAsia="en-GB"/>
              </w:rPr>
              <w:t>COVID</w:t>
            </w:r>
            <w:r w:rsidRPr="00DC42F4">
              <w:rPr>
                <w:rFonts w:eastAsia="Times New Roman" w:cstheme="minorHAnsi"/>
                <w:iCs/>
                <w:sz w:val="16"/>
                <w:szCs w:val="16"/>
                <w:lang w:eastAsia="en-GB"/>
              </w:rPr>
              <w:t>-19 για το 1</w:t>
            </w:r>
            <w:r w:rsidRPr="00DC42F4">
              <w:rPr>
                <w:rFonts w:eastAsia="Times New Roman" w:cstheme="minorHAnsi"/>
                <w:iCs/>
                <w:sz w:val="16"/>
                <w:szCs w:val="16"/>
                <w:vertAlign w:val="superscript"/>
                <w:lang w:eastAsia="en-GB"/>
              </w:rPr>
              <w:t>ο</w:t>
            </w:r>
            <w:r w:rsidRPr="00DC42F4">
              <w:rPr>
                <w:rFonts w:eastAsia="Times New Roman" w:cstheme="minorHAnsi"/>
                <w:iCs/>
                <w:sz w:val="16"/>
                <w:szCs w:val="16"/>
                <w:lang w:eastAsia="en-GB"/>
              </w:rPr>
              <w:t xml:space="preserve"> 3μηνο 2020 περιλαμβάνει €46εκατ. ζημιών στο χαρτοφυλάκιο συναλλαγών εξαιτίας της αναστάτωσης στις αγορές από την κρίση του </w:t>
            </w:r>
            <w:proofErr w:type="spellStart"/>
            <w:r w:rsidRPr="00DC42F4">
              <w:rPr>
                <w:rFonts w:eastAsia="Times New Roman" w:cstheme="minorHAnsi"/>
                <w:iCs/>
                <w:sz w:val="16"/>
                <w:szCs w:val="16"/>
                <w:lang w:val="en-US" w:eastAsia="en-GB"/>
              </w:rPr>
              <w:t>Covid</w:t>
            </w:r>
            <w:proofErr w:type="spellEnd"/>
            <w:r w:rsidRPr="00DC42F4">
              <w:rPr>
                <w:rFonts w:eastAsia="Times New Roman" w:cstheme="minorHAnsi"/>
                <w:iCs/>
                <w:sz w:val="16"/>
                <w:szCs w:val="16"/>
                <w:lang w:eastAsia="en-GB"/>
              </w:rPr>
              <w:t>-19., €</w:t>
            </w:r>
            <w:r w:rsidRPr="00F43CEE">
              <w:rPr>
                <w:rFonts w:eastAsia="Times New Roman" w:cstheme="minorHAnsi"/>
                <w:iCs/>
                <w:sz w:val="16"/>
                <w:szCs w:val="16"/>
                <w:lang w:eastAsia="en-GB"/>
              </w:rPr>
              <w:t>324</w:t>
            </w:r>
            <w:r w:rsidRPr="00DC42F4">
              <w:rPr>
                <w:rFonts w:eastAsia="Times New Roman" w:cstheme="minorHAnsi"/>
                <w:iCs/>
                <w:sz w:val="16"/>
                <w:szCs w:val="16"/>
                <w:lang w:eastAsia="en-GB"/>
              </w:rPr>
              <w:t xml:space="preserve">εκατ. από επιπλέον αναμενόμενες ζημίες </w:t>
            </w:r>
            <w:proofErr w:type="spellStart"/>
            <w:r w:rsidRPr="00DC42F4">
              <w:rPr>
                <w:rFonts w:eastAsia="Times New Roman" w:cstheme="minorHAnsi"/>
                <w:iCs/>
                <w:sz w:val="16"/>
                <w:szCs w:val="16"/>
                <w:lang w:eastAsia="en-GB"/>
              </w:rPr>
              <w:t>απομείωσης</w:t>
            </w:r>
            <w:proofErr w:type="spellEnd"/>
            <w:r w:rsidRPr="00DC42F4">
              <w:rPr>
                <w:rFonts w:eastAsia="Times New Roman" w:cstheme="minorHAnsi"/>
                <w:iCs/>
                <w:sz w:val="16"/>
                <w:szCs w:val="16"/>
                <w:lang w:eastAsia="en-GB"/>
              </w:rPr>
              <w:t xml:space="preserve"> δανείων </w:t>
            </w:r>
            <w:r>
              <w:rPr>
                <w:rFonts w:eastAsia="Times New Roman" w:cstheme="minorHAnsi"/>
                <w:iCs/>
                <w:sz w:val="16"/>
                <w:szCs w:val="16"/>
                <w:lang w:eastAsia="en-GB"/>
              </w:rPr>
              <w:t xml:space="preserve">και </w:t>
            </w:r>
            <w:r w:rsidRPr="00DC42F4">
              <w:rPr>
                <w:rFonts w:eastAsia="Times New Roman" w:cstheme="minorHAnsi"/>
                <w:iCs/>
                <w:sz w:val="16"/>
                <w:szCs w:val="16"/>
                <w:lang w:eastAsia="en-GB"/>
              </w:rPr>
              <w:t xml:space="preserve">άλλων στοιχείων ενεργητικού ώστε να αντικατοπτρίζουν τις επιδεινούμενες οικονομικές προοπτικές ως αποτέλεσμα του </w:t>
            </w:r>
            <w:r w:rsidRPr="00DC42F4">
              <w:rPr>
                <w:rFonts w:eastAsia="Times New Roman" w:cstheme="minorHAnsi"/>
                <w:iCs/>
                <w:sz w:val="16"/>
                <w:szCs w:val="16"/>
                <w:lang w:val="en-US" w:eastAsia="en-GB"/>
              </w:rPr>
              <w:t>COVID</w:t>
            </w:r>
            <w:r w:rsidRPr="00DC42F4">
              <w:rPr>
                <w:rFonts w:eastAsia="Times New Roman" w:cstheme="minorHAnsi"/>
                <w:iCs/>
                <w:sz w:val="16"/>
                <w:szCs w:val="16"/>
                <w:lang w:eastAsia="en-GB"/>
              </w:rPr>
              <w:t>-19 ώστε να αντικατοπτρίζουν τις επιδεινούμενες οικονομικές προοπτικές.</w:t>
            </w:r>
          </w:p>
        </w:tc>
      </w:tr>
      <w:tr w:rsidR="00F43CEE" w:rsidRPr="00193B9E"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4</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proofErr w:type="spellStart"/>
            <w:r>
              <w:rPr>
                <w:rFonts w:cstheme="minorHAnsi"/>
                <w:b/>
                <w:color w:val="002060"/>
                <w:sz w:val="16"/>
                <w:szCs w:val="16"/>
              </w:rPr>
              <w:t>Απομειώσεις</w:t>
            </w:r>
            <w:proofErr w:type="spellEnd"/>
            <w:r>
              <w:rPr>
                <w:rFonts w:cstheme="minorHAnsi"/>
                <w:b/>
                <w:color w:val="002060"/>
                <w:sz w:val="16"/>
                <w:szCs w:val="16"/>
              </w:rPr>
              <w:t xml:space="preserve"> </w:t>
            </w:r>
            <w:r>
              <w:rPr>
                <w:rFonts w:cstheme="minorHAnsi"/>
                <w:b/>
                <w:color w:val="002060"/>
                <w:sz w:val="16"/>
                <w:szCs w:val="16"/>
                <w:lang w:val="el"/>
              </w:rPr>
              <w:t>ή Προβλέψεις</w:t>
            </w:r>
            <w:r w:rsidRPr="00DC42F4">
              <w:rPr>
                <w:rFonts w:cstheme="minorHAnsi"/>
                <w:b/>
                <w:color w:val="002060"/>
                <w:sz w:val="16"/>
                <w:szCs w:val="16"/>
                <w:lang w:val="el"/>
              </w:rPr>
              <w:t xml:space="preserve"> </w:t>
            </w:r>
          </w:p>
        </w:tc>
        <w:tc>
          <w:tcPr>
            <w:tcW w:w="5070" w:type="dxa"/>
            <w:shd w:val="clear" w:color="auto" w:fill="auto"/>
            <w:vAlign w:val="center"/>
          </w:tcPr>
          <w:p w:rsidR="00F43CEE" w:rsidRPr="00DC42F4" w:rsidRDefault="00F43CEE" w:rsidP="00C822DB">
            <w:pPr>
              <w:pStyle w:val="NormalWeb"/>
              <w:shd w:val="clear" w:color="auto" w:fill="FFFFFF"/>
              <w:rPr>
                <w:rFonts w:asciiTheme="minorHAnsi" w:hAnsiTheme="minorHAnsi" w:cstheme="minorHAnsi"/>
                <w:sz w:val="16"/>
                <w:szCs w:val="16"/>
              </w:rPr>
            </w:pPr>
            <w:proofErr w:type="spellStart"/>
            <w:r w:rsidRPr="00DC42F4">
              <w:rPr>
                <w:rFonts w:asciiTheme="minorHAnsi" w:hAnsiTheme="minorHAnsi" w:cstheme="minorHAnsi"/>
                <w:sz w:val="16"/>
                <w:szCs w:val="16"/>
              </w:rPr>
              <w:t>Αναμενόμενες</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ζημίες</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απομείωσης</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δανείων</w:t>
            </w:r>
            <w:proofErr w:type="spellEnd"/>
            <w:r w:rsidRPr="00DC42F4">
              <w:rPr>
                <w:rFonts w:asciiTheme="minorHAnsi" w:hAnsiTheme="minorHAnsi" w:cstheme="minorHAnsi"/>
                <w:sz w:val="16"/>
                <w:szCs w:val="16"/>
              </w:rPr>
              <w:t xml:space="preserve"> και </w:t>
            </w:r>
            <w:proofErr w:type="spellStart"/>
            <w:r w:rsidRPr="00DC42F4">
              <w:rPr>
                <w:rFonts w:asciiTheme="minorHAnsi" w:hAnsiTheme="minorHAnsi" w:cstheme="minorHAnsi"/>
                <w:sz w:val="16"/>
                <w:szCs w:val="16"/>
              </w:rPr>
              <w:t>απαιτήσεων</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κατα</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πελατών</w:t>
            </w:r>
            <w:proofErr w:type="spellEnd"/>
            <w:r w:rsidRPr="00DC42F4">
              <w:rPr>
                <w:rFonts w:asciiTheme="minorHAnsi" w:hAnsiTheme="minorHAnsi" w:cstheme="minorHAnsi"/>
                <w:sz w:val="16"/>
                <w:szCs w:val="16"/>
              </w:rPr>
              <w:t xml:space="preserve"> στο </w:t>
            </w:r>
            <w:proofErr w:type="spellStart"/>
            <w:r w:rsidRPr="00DC42F4">
              <w:rPr>
                <w:rFonts w:asciiTheme="minorHAnsi" w:hAnsiTheme="minorHAnsi" w:cstheme="minorHAnsi"/>
                <w:sz w:val="16"/>
                <w:szCs w:val="16"/>
              </w:rPr>
              <w:t>αποσβέσιμο</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κόστος</w:t>
            </w:r>
            <w:proofErr w:type="spellEnd"/>
            <w:r w:rsidRPr="00DC42F4">
              <w:rPr>
                <w:rFonts w:asciiTheme="minorHAnsi" w:hAnsiTheme="minorHAnsi" w:cstheme="minorHAnsi"/>
                <w:sz w:val="16"/>
                <w:szCs w:val="16"/>
              </w:rPr>
              <w:t xml:space="preserve">. </w:t>
            </w:r>
          </w:p>
        </w:tc>
      </w:tr>
      <w:tr w:rsidR="00F43CEE" w:rsidRPr="00193B9E"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5</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Αποτέλεσμα προ (φόρων και) προβλέψεων</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Κέρδη προ προβλέψεων, </w:t>
            </w:r>
            <w:proofErr w:type="spellStart"/>
            <w:r w:rsidRPr="00DC42F4">
              <w:rPr>
                <w:rFonts w:eastAsia="Times New Roman" w:cstheme="minorHAnsi"/>
                <w:sz w:val="16"/>
                <w:szCs w:val="16"/>
                <w:lang w:eastAsia="en-GB"/>
              </w:rPr>
              <w:t>απομειώσεων</w:t>
            </w:r>
            <w:proofErr w:type="spellEnd"/>
            <w:r w:rsidRPr="00DC42F4">
              <w:rPr>
                <w:rFonts w:eastAsia="Times New Roman" w:cstheme="minorHAnsi"/>
                <w:sz w:val="16"/>
                <w:szCs w:val="16"/>
                <w:lang w:eastAsia="en-GB"/>
              </w:rPr>
              <w:t xml:space="preserve"> και φόρου εισοδήματος</w:t>
            </w:r>
          </w:p>
        </w:tc>
      </w:tr>
      <w:tr w:rsidR="00F43CEE" w:rsidRPr="00193B9E"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6</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 xml:space="preserve">Αποτέλεσμα προ φόρων (επαναλαμβανόμενο), εξαιρουμένης της επίπτωσης του </w:t>
            </w:r>
            <w:r w:rsidRPr="00DC42F4">
              <w:rPr>
                <w:rFonts w:cstheme="minorHAnsi"/>
                <w:b/>
                <w:color w:val="002060"/>
                <w:sz w:val="16"/>
                <w:szCs w:val="16"/>
                <w:lang w:val="en-US"/>
              </w:rPr>
              <w:t>COVID</w:t>
            </w:r>
            <w:r w:rsidRPr="00DC42F4">
              <w:rPr>
                <w:rFonts w:cstheme="minorHAnsi"/>
                <w:b/>
                <w:color w:val="002060"/>
                <w:sz w:val="16"/>
                <w:szCs w:val="16"/>
              </w:rPr>
              <w:t>-19</w:t>
            </w:r>
            <w:r w:rsidRPr="00DC42F4">
              <w:rPr>
                <w:rFonts w:cstheme="minorHAnsi"/>
                <w:b/>
                <w:color w:val="002060"/>
                <w:sz w:val="16"/>
                <w:szCs w:val="16"/>
                <w:lang w:val="el"/>
              </w:rPr>
              <w:t xml:space="preserve"> </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Κέρδη / ζημία προ φόρου εισοδήματος, εξαιρουμένων των εκτάκτων στοιχείων σύμφωνα με το στοιχείο #1, και της επίπτωσης από τον </w:t>
            </w:r>
            <w:r w:rsidRPr="00DC42F4">
              <w:rPr>
                <w:rFonts w:eastAsia="Times New Roman" w:cstheme="minorHAnsi"/>
                <w:sz w:val="16"/>
                <w:szCs w:val="16"/>
                <w:lang w:val="en-US" w:eastAsia="en-GB"/>
              </w:rPr>
              <w:t>COVID</w:t>
            </w:r>
            <w:r w:rsidRPr="00DC42F4">
              <w:rPr>
                <w:rFonts w:eastAsia="Times New Roman" w:cstheme="minorHAnsi"/>
                <w:sz w:val="16"/>
                <w:szCs w:val="16"/>
                <w:lang w:eastAsia="en-GB"/>
              </w:rPr>
              <w:t>-19 σύμφωνα με το στοιχείο #3</w:t>
            </w:r>
          </w:p>
        </w:tc>
      </w:tr>
      <w:tr w:rsidR="00F43CEE" w:rsidRPr="00193B9E"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7</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Βασικά τραπεζικά έσοδα</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Καθαρά έσοδα τόκων συν (+) καθαρά έσοδα προμηθειών. </w:t>
            </w:r>
          </w:p>
        </w:tc>
      </w:tr>
      <w:tr w:rsidR="00F43CEE" w:rsidRPr="00193B9E"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8</w:t>
            </w:r>
          </w:p>
        </w:tc>
        <w:tc>
          <w:tcPr>
            <w:tcW w:w="2295" w:type="dxa"/>
            <w:shd w:val="clear" w:color="auto" w:fill="FFFFFF"/>
            <w:vAlign w:val="center"/>
            <w:hideMark/>
          </w:tcPr>
          <w:p w:rsidR="00F43CEE" w:rsidRPr="00DC42F4" w:rsidRDefault="00F43CEE" w:rsidP="00C822DB">
            <w:pPr>
              <w:spacing w:after="0" w:line="240" w:lineRule="auto"/>
              <w:textAlignment w:val="baseline"/>
              <w:rPr>
                <w:rFonts w:cstheme="minorHAnsi"/>
                <w:b/>
                <w:color w:val="002060"/>
                <w:sz w:val="16"/>
                <w:szCs w:val="16"/>
              </w:rPr>
            </w:pPr>
            <w:r w:rsidRPr="00DC42F4">
              <w:rPr>
                <w:rFonts w:cstheme="minorHAnsi"/>
                <w:b/>
                <w:color w:val="002060"/>
                <w:sz w:val="16"/>
                <w:szCs w:val="16"/>
                <w:lang w:val="el"/>
              </w:rPr>
              <w:t>Δάνεια</w:t>
            </w:r>
            <w:r w:rsidRPr="00DC42F4">
              <w:rPr>
                <w:rFonts w:cstheme="minorHAnsi"/>
                <w:b/>
                <w:color w:val="002060"/>
                <w:sz w:val="16"/>
                <w:szCs w:val="16"/>
              </w:rPr>
              <w:t xml:space="preserve"> </w:t>
            </w:r>
            <w:r w:rsidRPr="00DC42F4">
              <w:rPr>
                <w:rFonts w:cstheme="minorHAnsi"/>
                <w:b/>
                <w:color w:val="002060"/>
                <w:sz w:val="16"/>
                <w:szCs w:val="16"/>
                <w:lang w:val="el"/>
              </w:rPr>
              <w:t>προ</w:t>
            </w:r>
            <w:r w:rsidRPr="00DC42F4">
              <w:rPr>
                <w:rFonts w:cstheme="minorHAnsi"/>
                <w:b/>
                <w:color w:val="002060"/>
                <w:sz w:val="16"/>
                <w:szCs w:val="16"/>
              </w:rPr>
              <w:t xml:space="preserve"> </w:t>
            </w:r>
            <w:r w:rsidRPr="00DC42F4">
              <w:rPr>
                <w:rFonts w:cstheme="minorHAnsi"/>
                <w:b/>
                <w:color w:val="002060"/>
                <w:sz w:val="16"/>
                <w:szCs w:val="16"/>
                <w:lang w:val="el"/>
              </w:rPr>
              <w:t>Προβλέψεων</w:t>
            </w:r>
          </w:p>
        </w:tc>
        <w:tc>
          <w:tcPr>
            <w:tcW w:w="5070" w:type="dxa"/>
            <w:shd w:val="clear" w:color="auto" w:fill="auto"/>
            <w:vAlign w:val="center"/>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Δάνεια και απαιτήσεις κατά πελατών στο </w:t>
            </w:r>
            <w:proofErr w:type="spellStart"/>
            <w:r w:rsidRPr="00DC42F4">
              <w:rPr>
                <w:rFonts w:eastAsia="Times New Roman" w:cstheme="minorHAnsi"/>
                <w:sz w:val="16"/>
                <w:szCs w:val="16"/>
                <w:lang w:eastAsia="en-GB"/>
              </w:rPr>
              <w:t>αποσβέσιμο</w:t>
            </w:r>
            <w:proofErr w:type="spellEnd"/>
            <w:r w:rsidRPr="00DC42F4">
              <w:rPr>
                <w:rFonts w:eastAsia="Times New Roman" w:cstheme="minorHAnsi"/>
                <w:sz w:val="16"/>
                <w:szCs w:val="16"/>
                <w:lang w:eastAsia="en-GB"/>
              </w:rPr>
              <w:t xml:space="preserve"> κόστος προ αναμενόμενων πιστωτικών ζημιών</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rPr>
            </w:pPr>
            <w:r>
              <w:rPr>
                <w:rFonts w:cstheme="minorHAnsi"/>
                <w:color w:val="002060"/>
                <w:sz w:val="16"/>
                <w:szCs w:val="16"/>
              </w:rPr>
              <w:t>9</w:t>
            </w:r>
          </w:p>
        </w:tc>
        <w:tc>
          <w:tcPr>
            <w:tcW w:w="2295" w:type="dxa"/>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Δάνεια</w:t>
            </w:r>
            <w:r w:rsidRPr="00DC42F4">
              <w:rPr>
                <w:rFonts w:cstheme="minorHAnsi"/>
                <w:b/>
                <w:color w:val="002060"/>
                <w:sz w:val="16"/>
                <w:szCs w:val="16"/>
                <w:lang w:val="en-US"/>
              </w:rPr>
              <w:t xml:space="preserve"> </w:t>
            </w:r>
            <w:r w:rsidRPr="00DC42F4">
              <w:rPr>
                <w:rFonts w:cstheme="minorHAnsi"/>
                <w:b/>
                <w:color w:val="002060"/>
                <w:sz w:val="16"/>
                <w:szCs w:val="16"/>
                <w:lang w:val="el"/>
              </w:rPr>
              <w:t xml:space="preserve">μετά από Προβλέψεις </w:t>
            </w:r>
          </w:p>
        </w:tc>
        <w:tc>
          <w:tcPr>
            <w:tcW w:w="5070" w:type="dxa"/>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Δάνεια μετά από προβλέψεις στο </w:t>
            </w:r>
            <w:proofErr w:type="spellStart"/>
            <w:r w:rsidRPr="00DC42F4">
              <w:rPr>
                <w:rFonts w:eastAsia="Times New Roman" w:cstheme="minorHAnsi"/>
                <w:sz w:val="16"/>
                <w:szCs w:val="16"/>
                <w:lang w:eastAsia="en-GB"/>
              </w:rPr>
              <w:t>αποσβέσιμο</w:t>
            </w:r>
            <w:proofErr w:type="spellEnd"/>
            <w:r w:rsidRPr="00DC42F4">
              <w:rPr>
                <w:rFonts w:eastAsia="Times New Roman" w:cstheme="minorHAnsi"/>
                <w:sz w:val="16"/>
                <w:szCs w:val="16"/>
                <w:lang w:eastAsia="en-GB"/>
              </w:rPr>
              <w:t xml:space="preserve"> κόστος </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10</w:t>
            </w:r>
          </w:p>
        </w:tc>
        <w:tc>
          <w:tcPr>
            <w:tcW w:w="2295" w:type="dxa"/>
            <w:shd w:val="clear" w:color="auto" w:fill="auto"/>
            <w:vAlign w:val="center"/>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Δείκτης δανείων προς καταθέσεις</w:t>
            </w:r>
          </w:p>
        </w:tc>
        <w:tc>
          <w:tcPr>
            <w:tcW w:w="5070" w:type="dxa"/>
            <w:shd w:val="clear" w:color="auto" w:fill="auto"/>
            <w:vAlign w:val="center"/>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Δάνεια μετά από προβλέψεις προς (/) Καταθέσεις  </w:t>
            </w:r>
          </w:p>
        </w:tc>
      </w:tr>
      <w:tr w:rsidR="00F43CEE" w:rsidRPr="000E104C"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11</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Δείκτης Κάλυψης ΜΕΑ από αναμενόμενες πιστωτικές ζημιές</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Αναμενόμενες πιστωτικές ζημιές προς (/) ΜΕΑ</w:t>
            </w:r>
          </w:p>
        </w:tc>
      </w:tr>
      <w:tr w:rsidR="00F43CEE" w:rsidRPr="000E104C" w:rsidTr="00C822DB">
        <w:trPr>
          <w:trHeight w:val="375"/>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12</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n-US"/>
              </w:rPr>
            </w:pPr>
            <w:r w:rsidRPr="00DC42F4">
              <w:rPr>
                <w:rFonts w:cstheme="minorHAnsi"/>
                <w:b/>
                <w:color w:val="002060"/>
                <w:sz w:val="16"/>
                <w:szCs w:val="16"/>
                <w:lang w:val="el"/>
              </w:rPr>
              <w:t>Δείκτης κάλυψης ρευστότητας (</w:t>
            </w:r>
            <w:r w:rsidRPr="00DC42F4">
              <w:rPr>
                <w:rFonts w:cstheme="minorHAnsi"/>
                <w:b/>
                <w:color w:val="002060"/>
                <w:sz w:val="16"/>
                <w:szCs w:val="16"/>
                <w:lang w:val="en-US"/>
              </w:rPr>
              <w:t>LCR)</w:t>
            </w:r>
          </w:p>
        </w:tc>
        <w:tc>
          <w:tcPr>
            <w:tcW w:w="5070" w:type="dxa"/>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Ο δείκτης κάλυψης ρευστότητας είναι</w:t>
            </w:r>
            <w:r>
              <w:rPr>
                <w:rFonts w:eastAsia="Times New Roman" w:cstheme="minorHAnsi"/>
                <w:sz w:val="16"/>
                <w:szCs w:val="16"/>
                <w:lang w:eastAsia="en-GB"/>
              </w:rPr>
              <w:t xml:space="preserve"> το ποσό του επαρκούς</w:t>
            </w:r>
            <w:r w:rsidRPr="00DC42F4">
              <w:rPr>
                <w:rFonts w:eastAsia="Times New Roman" w:cstheme="minorHAnsi"/>
                <w:sz w:val="16"/>
                <w:szCs w:val="16"/>
                <w:lang w:eastAsia="en-GB"/>
              </w:rPr>
              <w:t xml:space="preserve"> αποθέματος</w:t>
            </w:r>
            <w:r w:rsidRPr="00962BF8">
              <w:rPr>
                <w:rFonts w:eastAsia="Times New Roman" w:cstheme="minorHAnsi"/>
                <w:sz w:val="16"/>
                <w:szCs w:val="16"/>
                <w:lang w:eastAsia="en-GB"/>
              </w:rPr>
              <w:t xml:space="preserve"> </w:t>
            </w:r>
            <w:r>
              <w:rPr>
                <w:rFonts w:eastAsia="Times New Roman" w:cstheme="minorHAnsi"/>
                <w:sz w:val="16"/>
                <w:szCs w:val="16"/>
                <w:lang w:eastAsia="en-GB"/>
              </w:rPr>
              <w:t xml:space="preserve">ασφαλείας </w:t>
            </w:r>
            <w:r w:rsidRPr="00DC42F4">
              <w:rPr>
                <w:rFonts w:eastAsia="Times New Roman" w:cstheme="minorHAnsi"/>
                <w:sz w:val="16"/>
                <w:szCs w:val="16"/>
                <w:lang w:eastAsia="en-GB"/>
              </w:rPr>
              <w:t>ρευστότητας ώστε μια τράπεζα να επιβιώσει από έ</w:t>
            </w:r>
            <w:r>
              <w:rPr>
                <w:rFonts w:eastAsia="Times New Roman" w:cstheme="minorHAnsi"/>
                <w:sz w:val="16"/>
                <w:szCs w:val="16"/>
                <w:lang w:eastAsia="en-GB"/>
              </w:rPr>
              <w:t>να σημαντικό σενάριο</w:t>
            </w:r>
            <w:r w:rsidRPr="00DC42F4">
              <w:rPr>
                <w:rFonts w:eastAsia="Times New Roman" w:cstheme="minorHAnsi"/>
                <w:sz w:val="16"/>
                <w:szCs w:val="16"/>
                <w:lang w:eastAsia="en-GB"/>
              </w:rPr>
              <w:t xml:space="preserve"> ακραίων καταστάσεων που διαρκεί έναν μήνα</w:t>
            </w:r>
          </w:p>
        </w:tc>
      </w:tr>
      <w:tr w:rsidR="00F43CEE" w:rsidRPr="00773387"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13</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Δείκτης κόστους προς έσοδα (Επαναλαμβανόμενο)</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Σύνολο λειτουργικών εξόδων πριν από προβλέψεις προς συνολικά καθαρά έσοδα, εξαιρουμένων των εφάπαξ στοιχείων που σχετίζονται με την αντίστοιχη περίοδο, σύμφωνα με το στοιχείο #1</w:t>
            </w:r>
          </w:p>
        </w:tc>
      </w:tr>
      <w:tr w:rsidR="00F43CEE" w:rsidRPr="00773387"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14</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Δείκτης ΜΕΑ</w:t>
            </w:r>
          </w:p>
        </w:tc>
        <w:tc>
          <w:tcPr>
            <w:tcW w:w="5070" w:type="dxa"/>
            <w:shd w:val="clear" w:color="auto" w:fill="auto"/>
            <w:vAlign w:val="center"/>
          </w:tcPr>
          <w:p w:rsidR="00F43CEE" w:rsidRPr="00DC42F4" w:rsidRDefault="00F43CEE" w:rsidP="00C822DB">
            <w:pPr>
              <w:pStyle w:val="NormalWeb"/>
              <w:shd w:val="clear" w:color="auto" w:fill="FFFFFF"/>
              <w:rPr>
                <w:rFonts w:asciiTheme="minorHAnsi" w:hAnsiTheme="minorHAnsi" w:cstheme="minorHAnsi"/>
                <w:sz w:val="16"/>
                <w:szCs w:val="16"/>
              </w:rPr>
            </w:pPr>
            <w:r w:rsidRPr="00DC42F4">
              <w:rPr>
                <w:rFonts w:asciiTheme="minorHAnsi" w:hAnsiTheme="minorHAnsi" w:cstheme="minorHAnsi"/>
                <w:sz w:val="16"/>
                <w:szCs w:val="16"/>
              </w:rPr>
              <w:t xml:space="preserve">Μη </w:t>
            </w:r>
            <w:proofErr w:type="spellStart"/>
            <w:r w:rsidRPr="00DC42F4">
              <w:rPr>
                <w:rFonts w:asciiTheme="minorHAnsi" w:hAnsiTheme="minorHAnsi" w:cstheme="minorHAnsi"/>
                <w:sz w:val="16"/>
                <w:szCs w:val="16"/>
              </w:rPr>
              <w:t>εξυπηρετούμενα</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ανοίγματα</w:t>
            </w:r>
            <w:proofErr w:type="spellEnd"/>
            <w:r w:rsidRPr="00DC42F4">
              <w:rPr>
                <w:rFonts w:asciiTheme="minorHAnsi" w:hAnsiTheme="minorHAnsi" w:cstheme="minorHAnsi"/>
                <w:sz w:val="16"/>
                <w:szCs w:val="16"/>
              </w:rPr>
              <w:t xml:space="preserve"> προς </w:t>
            </w:r>
            <w:proofErr w:type="spellStart"/>
            <w:r w:rsidRPr="00DC42F4">
              <w:rPr>
                <w:rFonts w:asciiTheme="minorHAnsi" w:hAnsiTheme="minorHAnsi" w:cstheme="minorHAnsi"/>
                <w:sz w:val="16"/>
                <w:szCs w:val="16"/>
              </w:rPr>
              <w:t>δάνεια</w:t>
            </w:r>
            <w:proofErr w:type="spellEnd"/>
            <w:r w:rsidRPr="00DC42F4">
              <w:rPr>
                <w:rFonts w:asciiTheme="minorHAnsi" w:hAnsiTheme="minorHAnsi" w:cstheme="minorHAnsi"/>
                <w:sz w:val="16"/>
                <w:szCs w:val="16"/>
              </w:rPr>
              <w:t xml:space="preserve"> και </w:t>
            </w:r>
            <w:proofErr w:type="spellStart"/>
            <w:r w:rsidRPr="00DC42F4">
              <w:rPr>
                <w:rFonts w:asciiTheme="minorHAnsi" w:hAnsiTheme="minorHAnsi" w:cstheme="minorHAnsi"/>
                <w:sz w:val="16"/>
                <w:szCs w:val="16"/>
              </w:rPr>
              <w:t>απαιτήσεις</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απο</w:t>
            </w:r>
            <w:proofErr w:type="spellEnd"/>
            <w:r w:rsidRPr="00DC42F4">
              <w:rPr>
                <w:rFonts w:asciiTheme="minorHAnsi" w:hAnsiTheme="minorHAnsi" w:cstheme="minorHAnsi"/>
                <w:sz w:val="16"/>
                <w:szCs w:val="16"/>
              </w:rPr>
              <w:t xml:space="preserve">́ </w:t>
            </w:r>
            <w:proofErr w:type="spellStart"/>
            <w:r w:rsidRPr="00DC42F4">
              <w:rPr>
                <w:rFonts w:asciiTheme="minorHAnsi" w:hAnsiTheme="minorHAnsi" w:cstheme="minorHAnsi"/>
                <w:sz w:val="16"/>
                <w:szCs w:val="16"/>
              </w:rPr>
              <w:t>πελάτες</w:t>
            </w:r>
            <w:proofErr w:type="spellEnd"/>
            <w:r w:rsidRPr="00DC42F4">
              <w:rPr>
                <w:rFonts w:asciiTheme="minorHAnsi" w:hAnsiTheme="minorHAnsi" w:cstheme="minorHAnsi"/>
                <w:sz w:val="16"/>
                <w:szCs w:val="16"/>
              </w:rPr>
              <w:t xml:space="preserve"> προ </w:t>
            </w:r>
            <w:proofErr w:type="spellStart"/>
            <w:r w:rsidRPr="00DC42F4">
              <w:rPr>
                <w:rFonts w:asciiTheme="minorHAnsi" w:hAnsiTheme="minorHAnsi" w:cstheme="minorHAnsi"/>
                <w:sz w:val="16"/>
                <w:szCs w:val="16"/>
              </w:rPr>
              <w:t>προβλέψεων</w:t>
            </w:r>
            <w:proofErr w:type="spellEnd"/>
            <w:r w:rsidRPr="00DC42F4">
              <w:rPr>
                <w:rFonts w:asciiTheme="minorHAnsi" w:hAnsiTheme="minorHAnsi" w:cstheme="minorHAnsi"/>
                <w:sz w:val="16"/>
                <w:szCs w:val="16"/>
              </w:rPr>
              <w:t xml:space="preserve"> και </w:t>
            </w:r>
            <w:proofErr w:type="spellStart"/>
            <w:r w:rsidRPr="00DC42F4">
              <w:rPr>
                <w:rFonts w:asciiTheme="minorHAnsi" w:hAnsiTheme="minorHAnsi" w:cstheme="minorHAnsi"/>
                <w:sz w:val="16"/>
                <w:szCs w:val="16"/>
              </w:rPr>
              <w:t>προσαρμογών</w:t>
            </w:r>
            <w:proofErr w:type="spellEnd"/>
            <w:r w:rsidRPr="00DC42F4">
              <w:rPr>
                <w:rFonts w:asciiTheme="minorHAnsi" w:hAnsiTheme="minorHAnsi" w:cstheme="minorHAnsi"/>
                <w:sz w:val="16"/>
                <w:szCs w:val="16"/>
              </w:rPr>
              <w:t xml:space="preserve"> </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15</w:t>
            </w:r>
          </w:p>
        </w:tc>
        <w:tc>
          <w:tcPr>
            <w:tcW w:w="2295" w:type="dxa"/>
            <w:shd w:val="clear" w:color="auto" w:fill="auto"/>
            <w:vAlign w:val="center"/>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Έσοδα προ προβλέψεων σε επαναλαμβανόμενη βάση</w:t>
            </w:r>
          </w:p>
        </w:tc>
        <w:tc>
          <w:tcPr>
            <w:tcW w:w="5070" w:type="dxa"/>
            <w:shd w:val="clear" w:color="auto" w:fill="auto"/>
            <w:vAlign w:val="center"/>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Αποτελέσματα προ προβλέψεων</w:t>
            </w:r>
            <w:r>
              <w:rPr>
                <w:rFonts w:eastAsia="Times New Roman" w:cstheme="minorHAnsi"/>
                <w:sz w:val="16"/>
                <w:szCs w:val="16"/>
                <w:lang w:eastAsia="en-GB"/>
              </w:rPr>
              <w:t xml:space="preserve">, </w:t>
            </w:r>
            <w:proofErr w:type="spellStart"/>
            <w:r>
              <w:rPr>
                <w:rFonts w:eastAsia="Times New Roman" w:cstheme="minorHAnsi"/>
                <w:sz w:val="16"/>
                <w:szCs w:val="16"/>
                <w:lang w:eastAsia="en-GB"/>
              </w:rPr>
              <w:t>απομειώσεων</w:t>
            </w:r>
            <w:proofErr w:type="spellEnd"/>
            <w:r>
              <w:rPr>
                <w:rFonts w:eastAsia="Times New Roman" w:cstheme="minorHAnsi"/>
                <w:sz w:val="16"/>
                <w:szCs w:val="16"/>
                <w:lang w:eastAsia="en-GB"/>
              </w:rPr>
              <w:t xml:space="preserve"> και φόρου εισοδήματος,</w:t>
            </w:r>
            <w:r w:rsidRPr="00DC42F4">
              <w:rPr>
                <w:rFonts w:eastAsia="Times New Roman" w:cstheme="minorHAnsi"/>
                <w:sz w:val="16"/>
                <w:szCs w:val="16"/>
                <w:lang w:eastAsia="en-GB"/>
              </w:rPr>
              <w:t xml:space="preserve"> εξαιρουμένων των έκτακτων στοιχείων που σχετίζονται με την αντίστοιχη περίοδο, σύμφωνα με το στοιχείο #1</w:t>
            </w:r>
          </w:p>
        </w:tc>
      </w:tr>
      <w:tr w:rsidR="00F43CEE" w:rsidRPr="00773387" w:rsidTr="00C822DB">
        <w:trPr>
          <w:trHeight w:val="375"/>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16</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Έσοδα προ προβλέψεων σε συγκρίσιμη βάση</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Αποτελέσματα προ προβλέψεων</w:t>
            </w:r>
            <w:r>
              <w:rPr>
                <w:rFonts w:eastAsia="Times New Roman" w:cstheme="minorHAnsi"/>
                <w:sz w:val="16"/>
                <w:szCs w:val="16"/>
                <w:lang w:eastAsia="en-GB"/>
              </w:rPr>
              <w:t>,</w:t>
            </w:r>
            <w:r w:rsidRPr="00FC08A0">
              <w:rPr>
                <w:rFonts w:eastAsia="Times New Roman" w:cstheme="minorHAnsi"/>
                <w:sz w:val="16"/>
                <w:szCs w:val="16"/>
                <w:lang w:eastAsia="en-GB"/>
              </w:rPr>
              <w:t xml:space="preserve"> </w:t>
            </w:r>
            <w:proofErr w:type="spellStart"/>
            <w:r w:rsidRPr="00FC08A0">
              <w:rPr>
                <w:rFonts w:eastAsia="Times New Roman" w:cstheme="minorHAnsi"/>
                <w:sz w:val="16"/>
                <w:szCs w:val="16"/>
                <w:lang w:eastAsia="en-GB"/>
              </w:rPr>
              <w:t>απομειώσεων</w:t>
            </w:r>
            <w:proofErr w:type="spellEnd"/>
            <w:r w:rsidRPr="00FC08A0">
              <w:rPr>
                <w:rFonts w:eastAsia="Times New Roman" w:cstheme="minorHAnsi"/>
                <w:sz w:val="16"/>
                <w:szCs w:val="16"/>
                <w:lang w:eastAsia="en-GB"/>
              </w:rPr>
              <w:t xml:space="preserve"> και φόρου εισοδήματος</w:t>
            </w:r>
            <w:r>
              <w:rPr>
                <w:rFonts w:eastAsia="Times New Roman" w:cstheme="minorHAnsi"/>
                <w:sz w:val="16"/>
                <w:szCs w:val="16"/>
                <w:lang w:eastAsia="en-GB"/>
              </w:rPr>
              <w:t>,</w:t>
            </w:r>
            <w:r w:rsidRPr="00DC42F4">
              <w:rPr>
                <w:rFonts w:eastAsia="Times New Roman" w:cstheme="minorHAnsi"/>
                <w:sz w:val="16"/>
                <w:szCs w:val="16"/>
                <w:lang w:eastAsia="en-GB"/>
              </w:rPr>
              <w:t xml:space="preserve"> εξαιρουμένης της επίπτωσης του </w:t>
            </w:r>
            <w:r w:rsidRPr="00DC42F4">
              <w:rPr>
                <w:rFonts w:eastAsia="Times New Roman" w:cstheme="minorHAnsi"/>
                <w:sz w:val="16"/>
                <w:szCs w:val="16"/>
                <w:lang w:val="en-US" w:eastAsia="en-GB"/>
              </w:rPr>
              <w:t>COVID</w:t>
            </w:r>
            <w:r w:rsidRPr="00DC42F4">
              <w:rPr>
                <w:rFonts w:eastAsia="Times New Roman" w:cstheme="minorHAnsi"/>
                <w:sz w:val="16"/>
                <w:szCs w:val="16"/>
                <w:lang w:eastAsia="en-GB"/>
              </w:rPr>
              <w:t>-19 σύμφωνα με το στοιχείο #3 και της προμήθειας διαχείρισης προς τ</w:t>
            </w:r>
            <w:r>
              <w:rPr>
                <w:rFonts w:eastAsia="Times New Roman" w:cstheme="minorHAnsi"/>
                <w:iCs/>
                <w:sz w:val="16"/>
                <w:szCs w:val="16"/>
                <w:lang w:eastAsia="en-GB"/>
              </w:rPr>
              <w:t>ον διαχειριστή των ΜΕΑ κατά το</w:t>
            </w:r>
            <w:r w:rsidRPr="00DC42F4">
              <w:rPr>
                <w:rFonts w:eastAsia="Times New Roman" w:cstheme="minorHAnsi"/>
                <w:iCs/>
                <w:sz w:val="16"/>
                <w:szCs w:val="16"/>
                <w:lang w:eastAsia="en-GB"/>
              </w:rPr>
              <w:t xml:space="preserve"> 1</w:t>
            </w:r>
            <w:r w:rsidRPr="00DC42F4">
              <w:rPr>
                <w:rFonts w:eastAsia="Times New Roman" w:cstheme="minorHAnsi"/>
                <w:iCs/>
                <w:sz w:val="16"/>
                <w:szCs w:val="16"/>
                <w:vertAlign w:val="superscript"/>
                <w:lang w:eastAsia="en-GB"/>
              </w:rPr>
              <w:t>ο</w:t>
            </w:r>
            <w:r w:rsidRPr="00DC42F4">
              <w:rPr>
                <w:rFonts w:eastAsia="Times New Roman" w:cstheme="minorHAnsi"/>
                <w:iCs/>
                <w:sz w:val="16"/>
                <w:szCs w:val="16"/>
                <w:lang w:eastAsia="en-GB"/>
              </w:rPr>
              <w:t xml:space="preserve"> 3μηνο 2020 </w:t>
            </w:r>
          </w:p>
        </w:tc>
      </w:tr>
      <w:tr w:rsidR="00F43CEE" w:rsidRPr="00773387" w:rsidTr="00C822DB">
        <w:trPr>
          <w:trHeight w:val="375"/>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17</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Καθαρό περιθώριο επιτοκίου (NIM)</w:t>
            </w:r>
          </w:p>
        </w:tc>
        <w:tc>
          <w:tcPr>
            <w:tcW w:w="5070" w:type="dxa"/>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Κέρδος / ζημία περιόδου προ προβλέψεων, </w:t>
            </w:r>
            <w:proofErr w:type="spellStart"/>
            <w:r w:rsidRPr="00DC42F4">
              <w:rPr>
                <w:rFonts w:eastAsia="Times New Roman" w:cstheme="minorHAnsi"/>
                <w:sz w:val="16"/>
                <w:szCs w:val="16"/>
                <w:lang w:eastAsia="en-GB"/>
              </w:rPr>
              <w:t>απομειώσεων</w:t>
            </w:r>
            <w:proofErr w:type="spellEnd"/>
            <w:r w:rsidRPr="00DC42F4">
              <w:rPr>
                <w:rFonts w:eastAsia="Times New Roman" w:cstheme="minorHAnsi"/>
                <w:sz w:val="16"/>
                <w:szCs w:val="16"/>
                <w:lang w:eastAsia="en-GB"/>
              </w:rPr>
              <w:t xml:space="preserve"> και φόρων</w:t>
            </w:r>
          </w:p>
        </w:tc>
      </w:tr>
      <w:tr w:rsidR="00F43CEE" w:rsidRPr="00773387" w:rsidTr="00C822DB">
        <w:trPr>
          <w:trHeight w:val="375"/>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18</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Καθαρά έσοδα</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Σύνολο καθαρών εσόδων</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lastRenderedPageBreak/>
              <w:t>19</w:t>
            </w:r>
          </w:p>
        </w:tc>
        <w:tc>
          <w:tcPr>
            <w:tcW w:w="2295" w:type="dxa"/>
            <w:shd w:val="clear" w:color="auto" w:fill="auto"/>
            <w:vAlign w:val="center"/>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Καταθέσεις ή Καταθέσεις Πελατών</w:t>
            </w:r>
          </w:p>
        </w:tc>
        <w:tc>
          <w:tcPr>
            <w:tcW w:w="5070" w:type="dxa"/>
            <w:shd w:val="clear" w:color="auto" w:fill="auto"/>
            <w:vAlign w:val="center"/>
            <w:hideMark/>
          </w:tcPr>
          <w:p w:rsidR="00F43CEE" w:rsidRPr="00DC42F4" w:rsidRDefault="00F43CEE" w:rsidP="00C822DB">
            <w:pPr>
              <w:pStyle w:val="NormalWeb"/>
              <w:shd w:val="clear" w:color="auto" w:fill="FFFFFF"/>
              <w:rPr>
                <w:rFonts w:asciiTheme="minorHAnsi" w:hAnsiTheme="minorHAnsi" w:cstheme="minorHAnsi"/>
                <w:sz w:val="16"/>
                <w:szCs w:val="16"/>
              </w:rPr>
            </w:pPr>
            <w:proofErr w:type="spellStart"/>
            <w:r w:rsidRPr="00DC42F4">
              <w:rPr>
                <w:rFonts w:asciiTheme="minorHAnsi" w:hAnsiTheme="minorHAnsi" w:cstheme="minorHAnsi"/>
                <w:sz w:val="16"/>
                <w:szCs w:val="16"/>
              </w:rPr>
              <w:t>Υποχρεώσεις</w:t>
            </w:r>
            <w:proofErr w:type="spellEnd"/>
            <w:r w:rsidRPr="00DC42F4">
              <w:rPr>
                <w:rFonts w:asciiTheme="minorHAnsi" w:hAnsiTheme="minorHAnsi" w:cstheme="minorHAnsi"/>
                <w:sz w:val="16"/>
                <w:szCs w:val="16"/>
              </w:rPr>
              <w:t xml:space="preserve"> προς </w:t>
            </w:r>
            <w:proofErr w:type="spellStart"/>
            <w:r w:rsidRPr="00DC42F4">
              <w:rPr>
                <w:rFonts w:asciiTheme="minorHAnsi" w:hAnsiTheme="minorHAnsi" w:cstheme="minorHAnsi"/>
                <w:sz w:val="16"/>
                <w:szCs w:val="16"/>
              </w:rPr>
              <w:t>πελάτες</w:t>
            </w:r>
            <w:proofErr w:type="spellEnd"/>
            <w:r w:rsidRPr="00DC42F4">
              <w:rPr>
                <w:rFonts w:asciiTheme="minorHAnsi" w:hAnsiTheme="minorHAnsi" w:cstheme="minorHAnsi"/>
                <w:sz w:val="16"/>
                <w:szCs w:val="16"/>
              </w:rPr>
              <w:t xml:space="preserve"> </w:t>
            </w:r>
          </w:p>
        </w:tc>
      </w:tr>
      <w:tr w:rsidR="00F43CEE" w:rsidRPr="00773387"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20</w:t>
            </w:r>
          </w:p>
        </w:tc>
        <w:tc>
          <w:tcPr>
            <w:tcW w:w="2295" w:type="dxa"/>
            <w:shd w:val="clear" w:color="auto" w:fill="auto"/>
            <w:vAlign w:val="center"/>
          </w:tcPr>
          <w:p w:rsidR="00F43CEE" w:rsidRPr="003124C7" w:rsidRDefault="00F43CEE" w:rsidP="00C822DB">
            <w:pPr>
              <w:spacing w:after="0" w:line="240" w:lineRule="auto"/>
              <w:textAlignment w:val="baseline"/>
              <w:rPr>
                <w:rFonts w:cstheme="minorHAnsi"/>
                <w:b/>
                <w:color w:val="002060"/>
                <w:sz w:val="16"/>
                <w:szCs w:val="16"/>
              </w:rPr>
            </w:pPr>
            <w:r>
              <w:rPr>
                <w:rFonts w:cstheme="minorHAnsi"/>
                <w:b/>
                <w:color w:val="002060"/>
                <w:sz w:val="16"/>
                <w:szCs w:val="16"/>
              </w:rPr>
              <w:t xml:space="preserve">Κόστος κινδύνου δανείων λόγω </w:t>
            </w:r>
            <w:r>
              <w:rPr>
                <w:rFonts w:cstheme="minorHAnsi"/>
                <w:b/>
                <w:color w:val="002060"/>
                <w:sz w:val="16"/>
                <w:szCs w:val="16"/>
                <w:lang w:val="en-US"/>
              </w:rPr>
              <w:t>COVID</w:t>
            </w:r>
          </w:p>
        </w:tc>
        <w:tc>
          <w:tcPr>
            <w:tcW w:w="5070" w:type="dxa"/>
            <w:shd w:val="clear" w:color="auto" w:fill="auto"/>
            <w:vAlign w:val="center"/>
          </w:tcPr>
          <w:p w:rsidR="00F43CEE" w:rsidRPr="00D90516" w:rsidRDefault="00F43CEE" w:rsidP="00C822DB">
            <w:pPr>
              <w:spacing w:after="0" w:line="240" w:lineRule="auto"/>
              <w:textAlignment w:val="baseline"/>
              <w:rPr>
                <w:rFonts w:eastAsia="Times New Roman" w:cstheme="minorHAnsi"/>
                <w:sz w:val="16"/>
                <w:szCs w:val="16"/>
                <w:lang w:eastAsia="en-GB"/>
              </w:rPr>
            </w:pPr>
            <w:r w:rsidRPr="00D90516">
              <w:rPr>
                <w:rFonts w:eastAsia="Times New Roman" w:cstheme="minorHAnsi"/>
                <w:sz w:val="16"/>
                <w:szCs w:val="16"/>
                <w:lang w:eastAsia="en-GB"/>
              </w:rPr>
              <w:t xml:space="preserve">Αφορά τις </w:t>
            </w:r>
            <w:proofErr w:type="spellStart"/>
            <w:r w:rsidRPr="00D90516">
              <w:rPr>
                <w:rFonts w:eastAsia="Times New Roman" w:cstheme="minorHAnsi"/>
                <w:sz w:val="16"/>
                <w:szCs w:val="16"/>
                <w:lang w:eastAsia="en-GB"/>
              </w:rPr>
              <w:t>απομειώσεις</w:t>
            </w:r>
            <w:proofErr w:type="spellEnd"/>
            <w:r w:rsidRPr="00D90516">
              <w:rPr>
                <w:rFonts w:eastAsia="Times New Roman" w:cstheme="minorHAnsi"/>
                <w:sz w:val="16"/>
                <w:szCs w:val="16"/>
                <w:lang w:eastAsia="en-GB"/>
              </w:rPr>
              <w:t xml:space="preserve"> δανείων προς δάνεια μετά από προβλέψεις. Κατά το 1</w:t>
            </w:r>
            <w:r w:rsidRPr="003124C7">
              <w:rPr>
                <w:rFonts w:eastAsia="Times New Roman" w:cstheme="minorHAnsi"/>
                <w:sz w:val="16"/>
                <w:szCs w:val="16"/>
                <w:vertAlign w:val="superscript"/>
                <w:lang w:eastAsia="en-GB"/>
              </w:rPr>
              <w:t>ο</w:t>
            </w:r>
            <w:r w:rsidRPr="00D90516">
              <w:rPr>
                <w:rFonts w:eastAsia="Times New Roman" w:cstheme="minorHAnsi"/>
                <w:sz w:val="16"/>
                <w:szCs w:val="16"/>
                <w:lang w:eastAsia="en-GB"/>
              </w:rPr>
              <w:t xml:space="preserve"> 3μηνο 2020, οι </w:t>
            </w:r>
            <w:proofErr w:type="spellStart"/>
            <w:r w:rsidRPr="00D90516">
              <w:rPr>
                <w:rFonts w:eastAsia="Times New Roman" w:cstheme="minorHAnsi"/>
                <w:sz w:val="16"/>
                <w:szCs w:val="16"/>
                <w:lang w:eastAsia="en-GB"/>
              </w:rPr>
              <w:t>απομειώσεις</w:t>
            </w:r>
            <w:proofErr w:type="spellEnd"/>
            <w:r w:rsidRPr="00D90516">
              <w:rPr>
                <w:rFonts w:eastAsia="Times New Roman" w:cstheme="minorHAnsi"/>
                <w:sz w:val="16"/>
                <w:szCs w:val="16"/>
                <w:lang w:eastAsia="en-GB"/>
              </w:rPr>
              <w:t xml:space="preserve"> δανείων είναι το άθροισμα των  </w:t>
            </w:r>
            <w:r>
              <w:rPr>
                <w:rFonts w:eastAsia="Times New Roman" w:cstheme="minorHAnsi"/>
                <w:sz w:val="16"/>
                <w:szCs w:val="16"/>
                <w:lang w:eastAsia="en-GB"/>
              </w:rPr>
              <w:t xml:space="preserve">€180εκατ. υποκείμενων προβλέψεων συν (+) το ¼ των €257εκατ. επιπρόσθετων προβλέψεων δανείων λόγω </w:t>
            </w:r>
            <w:r>
              <w:rPr>
                <w:rFonts w:eastAsia="Times New Roman" w:cstheme="minorHAnsi"/>
                <w:sz w:val="16"/>
                <w:szCs w:val="16"/>
                <w:lang w:val="en-US" w:eastAsia="en-GB"/>
              </w:rPr>
              <w:t>COVID</w:t>
            </w:r>
            <w:r w:rsidRPr="003124C7">
              <w:rPr>
                <w:rFonts w:eastAsia="Times New Roman" w:cstheme="minorHAnsi"/>
                <w:sz w:val="16"/>
                <w:szCs w:val="16"/>
                <w:lang w:eastAsia="en-GB"/>
              </w:rPr>
              <w:t xml:space="preserve">-19, </w:t>
            </w:r>
            <w:r>
              <w:rPr>
                <w:rFonts w:eastAsia="Times New Roman" w:cstheme="minorHAnsi"/>
                <w:sz w:val="16"/>
                <w:szCs w:val="16"/>
                <w:lang w:eastAsia="en-GB"/>
              </w:rPr>
              <w:t xml:space="preserve"> επειδή αυτές αφορούν ολόκληρο το έτος 2020. </w:t>
            </w:r>
          </w:p>
        </w:tc>
      </w:tr>
      <w:tr w:rsidR="00F43CEE" w:rsidRPr="00773387" w:rsidTr="00C822DB">
        <w:trPr>
          <w:trHeight w:val="375"/>
        </w:trPr>
        <w:tc>
          <w:tcPr>
            <w:tcW w:w="1155" w:type="dxa"/>
            <w:shd w:val="clear" w:color="auto" w:fill="auto"/>
            <w:vAlign w:val="center"/>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21</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rPr>
            </w:pPr>
            <w:r w:rsidRPr="00DC42F4">
              <w:rPr>
                <w:rFonts w:cstheme="minorHAnsi"/>
                <w:b/>
                <w:color w:val="002060"/>
                <w:sz w:val="16"/>
                <w:szCs w:val="16"/>
                <w:lang w:val="el"/>
              </w:rPr>
              <w:t>Λειτουργικά Έξοδα (</w:t>
            </w:r>
            <w:r w:rsidRPr="00DC42F4">
              <w:rPr>
                <w:rFonts w:cstheme="minorHAnsi"/>
                <w:b/>
                <w:color w:val="002060"/>
                <w:sz w:val="16"/>
                <w:szCs w:val="16"/>
              </w:rPr>
              <w:t>κόστος) σε συγκρίσιμη βάση</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Σύνολο λειτουργικών εξόδων πριν από τις προβλέψεις, εξαιρουμένης της προμήθειας διαχείρισης στ</w:t>
            </w:r>
            <w:r>
              <w:rPr>
                <w:rFonts w:cstheme="minorHAnsi"/>
                <w:sz w:val="16"/>
                <w:szCs w:val="16"/>
              </w:rPr>
              <w:t>ον διαχειριστή ΜΕΑ</w:t>
            </w:r>
            <w:r w:rsidRPr="00DC42F4">
              <w:rPr>
                <w:rFonts w:cstheme="minorHAnsi"/>
                <w:sz w:val="16"/>
                <w:szCs w:val="16"/>
                <w:lang w:val="el"/>
              </w:rPr>
              <w:t xml:space="preserve"> το 1</w:t>
            </w:r>
            <w:r w:rsidRPr="00DC42F4">
              <w:rPr>
                <w:rFonts w:cstheme="minorHAnsi"/>
                <w:sz w:val="16"/>
                <w:szCs w:val="16"/>
                <w:vertAlign w:val="superscript"/>
                <w:lang w:val="el"/>
              </w:rPr>
              <w:t>ο</w:t>
            </w:r>
            <w:r w:rsidRPr="00DC42F4">
              <w:rPr>
                <w:rFonts w:cstheme="minorHAnsi"/>
                <w:sz w:val="16"/>
                <w:szCs w:val="16"/>
                <w:lang w:val="el"/>
              </w:rPr>
              <w:t xml:space="preserve"> 3μηνο 2020 και της επίπτωσης από τον </w:t>
            </w:r>
            <w:r w:rsidRPr="00DC42F4">
              <w:rPr>
                <w:rFonts w:cstheme="minorHAnsi"/>
                <w:sz w:val="16"/>
                <w:szCs w:val="16"/>
                <w:lang w:val="en-US"/>
              </w:rPr>
              <w:t>COVID</w:t>
            </w:r>
            <w:r w:rsidRPr="00DC42F4">
              <w:rPr>
                <w:rFonts w:cstheme="minorHAnsi"/>
                <w:sz w:val="16"/>
                <w:szCs w:val="16"/>
              </w:rPr>
              <w:t>-19 σύμφωνα με το στοιχείο #3</w:t>
            </w:r>
          </w:p>
        </w:tc>
      </w:tr>
      <w:tr w:rsidR="00F43CEE" w:rsidRPr="00773387" w:rsidTr="00C822DB">
        <w:trPr>
          <w:trHeight w:val="37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22</w:t>
            </w:r>
          </w:p>
        </w:tc>
        <w:tc>
          <w:tcPr>
            <w:tcW w:w="2295" w:type="dxa"/>
            <w:shd w:val="clear" w:color="auto" w:fill="auto"/>
            <w:vAlign w:val="center"/>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Λειτουργικά Έξοδα</w:t>
            </w:r>
            <w:r>
              <w:rPr>
                <w:rFonts w:cstheme="minorHAnsi"/>
                <w:b/>
                <w:color w:val="002060"/>
                <w:sz w:val="16"/>
                <w:szCs w:val="16"/>
                <w:lang w:val="el"/>
              </w:rPr>
              <w:t xml:space="preserve"> </w:t>
            </w:r>
            <w:r w:rsidRPr="00EA45E4">
              <w:rPr>
                <w:rFonts w:cstheme="minorHAnsi"/>
                <w:b/>
                <w:color w:val="002060"/>
                <w:sz w:val="16"/>
                <w:szCs w:val="16"/>
                <w:lang w:val="el"/>
              </w:rPr>
              <w:t>(Επαναλαμβανόμενα)</w:t>
            </w:r>
          </w:p>
        </w:tc>
        <w:tc>
          <w:tcPr>
            <w:tcW w:w="5070" w:type="dxa"/>
            <w:shd w:val="clear" w:color="auto" w:fill="FFFFFF"/>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cstheme="minorHAnsi"/>
                <w:sz w:val="16"/>
                <w:szCs w:val="16"/>
                <w:lang w:val="el"/>
              </w:rPr>
              <w:t>Λειτουργικά έξοδα εξαιρουμένων των εφάπαξ στοιχείων σύμφωνα με το στοιχείο #1</w:t>
            </w:r>
          </w:p>
        </w:tc>
      </w:tr>
      <w:tr w:rsidR="00F43CEE" w:rsidRPr="00773387" w:rsidTr="00C822DB">
        <w:trPr>
          <w:trHeight w:val="315"/>
        </w:trPr>
        <w:tc>
          <w:tcPr>
            <w:tcW w:w="1155" w:type="dxa"/>
            <w:shd w:val="clear" w:color="auto" w:fill="auto"/>
            <w:vAlign w:val="center"/>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23</w:t>
            </w:r>
          </w:p>
        </w:tc>
        <w:tc>
          <w:tcPr>
            <w:tcW w:w="2295"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cstheme="minorHAnsi"/>
                <w:b/>
                <w:color w:val="002060"/>
                <w:sz w:val="16"/>
                <w:szCs w:val="16"/>
                <w:lang w:val="el"/>
              </w:rPr>
              <w:t>LCR (Δείκτης Κάλυψης Ρευστότητας)</w:t>
            </w:r>
          </w:p>
        </w:tc>
        <w:tc>
          <w:tcPr>
            <w:tcW w:w="5070" w:type="dxa"/>
            <w:shd w:val="clear" w:color="auto" w:fill="auto"/>
            <w:vAlign w:val="center"/>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cstheme="minorHAnsi"/>
                <w:sz w:val="16"/>
                <w:szCs w:val="16"/>
                <w:lang w:val="el"/>
              </w:rPr>
              <w:t>Δείκτης κάλυψης ρευστότητας είναι το ποσό του επαρκούς αποθέματος ασφαλείας ρευστότητας για μια τράπεζα να επιβιώσει ένα σημαντικό σενάριο ακραίων καταστάσεων διάρκειας ενός μηνός</w:t>
            </w:r>
          </w:p>
        </w:tc>
      </w:tr>
      <w:tr w:rsidR="00F43CEE" w:rsidRPr="00773387" w:rsidTr="00C822DB">
        <w:trPr>
          <w:trHeight w:val="31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24</w:t>
            </w:r>
          </w:p>
        </w:tc>
        <w:tc>
          <w:tcPr>
            <w:tcW w:w="2295" w:type="dxa"/>
            <w:shd w:val="clear" w:color="auto" w:fill="auto"/>
            <w:vAlign w:val="center"/>
            <w:hideMark/>
          </w:tcPr>
          <w:p w:rsidR="00F43CEE" w:rsidRPr="00DC42F4" w:rsidRDefault="00F43CEE" w:rsidP="00C822DB">
            <w:pPr>
              <w:spacing w:after="0" w:line="240" w:lineRule="auto"/>
              <w:textAlignment w:val="baseline"/>
              <w:rPr>
                <w:rFonts w:cstheme="minorHAnsi"/>
                <w:b/>
                <w:color w:val="002060"/>
                <w:sz w:val="16"/>
                <w:szCs w:val="16"/>
                <w:lang w:val="el"/>
              </w:rPr>
            </w:pPr>
            <w:r w:rsidRPr="00DC42F4">
              <w:rPr>
                <w:rFonts w:cstheme="minorHAnsi"/>
                <w:b/>
                <w:color w:val="002060"/>
                <w:sz w:val="16"/>
                <w:szCs w:val="16"/>
                <w:lang w:val="el"/>
              </w:rPr>
              <w:t>Μη Εξυπηρετούμενα Ανοίγματα (MEA - NPE)</w:t>
            </w:r>
          </w:p>
        </w:tc>
        <w:tc>
          <w:tcPr>
            <w:tcW w:w="5070" w:type="dxa"/>
            <w:shd w:val="clear" w:color="auto" w:fill="auto"/>
            <w:vAlign w:val="center"/>
            <w:hideMark/>
          </w:tcPr>
          <w:p w:rsidR="00F43CEE" w:rsidRPr="00DC42F4" w:rsidRDefault="00F43CEE" w:rsidP="00C822DB">
            <w:pPr>
              <w:spacing w:after="0" w:line="240" w:lineRule="auto"/>
              <w:textAlignment w:val="baseline"/>
              <w:rPr>
                <w:rFonts w:eastAsia="Times New Roman" w:cstheme="minorHAnsi"/>
                <w:sz w:val="16"/>
                <w:szCs w:val="16"/>
                <w:lang w:eastAsia="en-GB"/>
              </w:rPr>
            </w:pPr>
            <w:r w:rsidRPr="00DC42F4">
              <w:rPr>
                <w:rFonts w:eastAsia="Times New Roman" w:cstheme="minorHAnsi"/>
                <w:sz w:val="16"/>
                <w:szCs w:val="16"/>
                <w:lang w:eastAsia="en-GB"/>
              </w:rPr>
              <w:t xml:space="preserve">Πιστοδοτικά ανοίγματα εντός ισολογισμού προ προβλέψεων, τα οποία: (α) έχουν καθυστέρηση άνω των 90 ημερών (β) έχουν υποστεί </w:t>
            </w:r>
            <w:proofErr w:type="spellStart"/>
            <w:r w:rsidRPr="00DC42F4">
              <w:rPr>
                <w:rFonts w:eastAsia="Times New Roman" w:cstheme="minorHAnsi"/>
                <w:sz w:val="16"/>
                <w:szCs w:val="16"/>
                <w:lang w:eastAsia="en-GB"/>
              </w:rPr>
              <w:t>απομείωση</w:t>
            </w:r>
            <w:proofErr w:type="spellEnd"/>
            <w:r w:rsidRPr="00DC42F4">
              <w:rPr>
                <w:rFonts w:eastAsia="Times New Roman" w:cstheme="minorHAnsi"/>
                <w:sz w:val="16"/>
                <w:szCs w:val="16"/>
                <w:lang w:eastAsia="en-GB"/>
              </w:rPr>
              <w:t xml:space="preserve"> ή ο οφειλέτης κρίνεται απίθανο να αποπληρώσει τις υποχρεώσεις (UTP) του πλήρως χωρίς τη ρευστοποίηση καλυμμάτων, ανεξάρτητα από την ύπαρξη ποσού σε καθυστέρηση ή του αριθμού των ημερών καθυστέρησης (γ) έχουν υποστεί ρύθμιση και δεν έχει εκπνεύσει η περίοδος παρακολούθησης κατά τις προδιαγραφές της Ευρωπαϊκής Τραπεζικής Αρχής (δ) έχουν επιμόλυνση από τα (α) ποσά, κατά τις προδιαγραφές της Ευρωπαϊκής Τραπεζικής Αρχής ή UTP.</w:t>
            </w:r>
          </w:p>
        </w:tc>
      </w:tr>
      <w:tr w:rsidR="00F43CEE" w:rsidRPr="00773387" w:rsidTr="00C822DB">
        <w:trPr>
          <w:trHeight w:val="315"/>
        </w:trPr>
        <w:tc>
          <w:tcPr>
            <w:tcW w:w="1155" w:type="dxa"/>
            <w:shd w:val="clear" w:color="auto" w:fill="auto"/>
            <w:vAlign w:val="center"/>
            <w:hideMark/>
          </w:tcPr>
          <w:p w:rsidR="00F43CEE" w:rsidRPr="00F3438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25</w:t>
            </w:r>
          </w:p>
        </w:tc>
        <w:tc>
          <w:tcPr>
            <w:tcW w:w="2295" w:type="dxa"/>
            <w:shd w:val="clear" w:color="auto" w:fill="auto"/>
            <w:vAlign w:val="center"/>
          </w:tcPr>
          <w:p w:rsidR="00F43CEE" w:rsidRPr="00DC42F4" w:rsidRDefault="00F43CEE" w:rsidP="00C822DB">
            <w:pPr>
              <w:spacing w:after="0" w:line="240" w:lineRule="auto"/>
              <w:textAlignment w:val="baseline"/>
              <w:rPr>
                <w:rFonts w:ascii="Times New Roman" w:eastAsia="Times New Roman" w:hAnsi="Times New Roman" w:cs="Times New Roman"/>
                <w:sz w:val="16"/>
                <w:szCs w:val="16"/>
                <w:lang w:eastAsia="en-GB"/>
              </w:rPr>
            </w:pPr>
            <w:proofErr w:type="spellStart"/>
            <w:r w:rsidRPr="00DC42F4">
              <w:rPr>
                <w:b/>
                <w:color w:val="002060"/>
                <w:sz w:val="16"/>
                <w:szCs w:val="16"/>
                <w:lang w:val="el"/>
              </w:rPr>
              <w:t>Pro-forma</w:t>
            </w:r>
            <w:proofErr w:type="spellEnd"/>
            <w:r w:rsidRPr="00DC42F4">
              <w:rPr>
                <w:b/>
                <w:color w:val="002060"/>
                <w:sz w:val="16"/>
                <w:szCs w:val="16"/>
                <w:lang w:val="el"/>
              </w:rPr>
              <w:t xml:space="preserve"> Συνολικός Δείκτης Κεφαλαιακής Επάρκειας </w:t>
            </w:r>
          </w:p>
        </w:tc>
        <w:tc>
          <w:tcPr>
            <w:tcW w:w="5070" w:type="dxa"/>
            <w:shd w:val="clear" w:color="auto" w:fill="FFFFFF"/>
            <w:vAlign w:val="center"/>
          </w:tcPr>
          <w:p w:rsidR="00F43CEE" w:rsidRPr="00DC42F4" w:rsidRDefault="00F43CEE" w:rsidP="00C822DB">
            <w:pPr>
              <w:spacing w:after="0" w:line="240" w:lineRule="auto"/>
              <w:textAlignment w:val="baseline"/>
              <w:rPr>
                <w:rFonts w:ascii="Times New Roman" w:eastAsia="Times New Roman" w:hAnsi="Times New Roman" w:cs="Times New Roman"/>
                <w:sz w:val="16"/>
                <w:szCs w:val="16"/>
                <w:lang w:eastAsia="en-GB"/>
              </w:rPr>
            </w:pPr>
            <w:r w:rsidRPr="00DC42F4">
              <w:rPr>
                <w:sz w:val="16"/>
                <w:szCs w:val="16"/>
                <w:lang w:val="el"/>
              </w:rPr>
              <w:t xml:space="preserve">Συνολικά εποπτικά κεφάλαια, όπως ορίζονται από την Οδηγία (EU) </w:t>
            </w:r>
            <w:proofErr w:type="spellStart"/>
            <w:r w:rsidRPr="00DC42F4">
              <w:rPr>
                <w:sz w:val="16"/>
                <w:szCs w:val="16"/>
                <w:lang w:val="el"/>
              </w:rPr>
              <w:t>No</w:t>
            </w:r>
            <w:proofErr w:type="spellEnd"/>
            <w:r w:rsidRPr="00DC42F4">
              <w:rPr>
                <w:sz w:val="16"/>
                <w:szCs w:val="16"/>
                <w:lang w:val="el"/>
              </w:rPr>
              <w:t xml:space="preserve"> 575/2013, με την εφαρμογή μεταβατικών διατάξεων για την επίπτωση της πρώτης εφαρμογής του ΔΠΧΠ 9, προσθέτοντας (+) τα κέρδη/ζημίες περιόδου στον αριθμητή (κεφάλαια) και αφαιρώντας (-) </w:t>
            </w:r>
            <w:proofErr w:type="spellStart"/>
            <w:r w:rsidRPr="00DC42F4">
              <w:rPr>
                <w:sz w:val="16"/>
                <w:szCs w:val="16"/>
                <w:lang w:val="el"/>
              </w:rPr>
              <w:t>διακρατούμενα</w:t>
            </w:r>
            <w:proofErr w:type="spellEnd"/>
            <w:r w:rsidRPr="00DC42F4">
              <w:rPr>
                <w:sz w:val="16"/>
                <w:szCs w:val="16"/>
                <w:lang w:val="el"/>
              </w:rPr>
              <w:t xml:space="preserve"> για πώληση χαρτοφυλάκια ύψους  €0,3δις από τον παρονομαστή.</w:t>
            </w:r>
          </w:p>
        </w:tc>
      </w:tr>
      <w:tr w:rsidR="00F43CEE" w:rsidRPr="00773387" w:rsidTr="00C822DB">
        <w:trPr>
          <w:trHeight w:val="315"/>
        </w:trPr>
        <w:tc>
          <w:tcPr>
            <w:tcW w:w="1155" w:type="dxa"/>
            <w:shd w:val="clear" w:color="auto" w:fill="auto"/>
            <w:vAlign w:val="center"/>
            <w:hideMark/>
          </w:tcPr>
          <w:p w:rsidR="00F43CEE" w:rsidRDefault="00F43CEE" w:rsidP="00C822DB">
            <w:pPr>
              <w:spacing w:after="0" w:line="240" w:lineRule="auto"/>
              <w:ind w:left="-105" w:right="-135"/>
              <w:jc w:val="center"/>
              <w:textAlignment w:val="baseline"/>
              <w:rPr>
                <w:rFonts w:cstheme="minorHAnsi"/>
                <w:color w:val="002060"/>
                <w:sz w:val="16"/>
                <w:szCs w:val="16"/>
                <w:lang w:val="el"/>
              </w:rPr>
            </w:pPr>
            <w:r>
              <w:rPr>
                <w:rFonts w:cstheme="minorHAnsi"/>
                <w:color w:val="002060"/>
                <w:sz w:val="16"/>
                <w:szCs w:val="16"/>
                <w:lang w:val="el"/>
              </w:rPr>
              <w:t>26</w:t>
            </w:r>
          </w:p>
          <w:p w:rsidR="00F43CEE" w:rsidRPr="00F3438E" w:rsidRDefault="00F43CEE" w:rsidP="00C822DB">
            <w:pPr>
              <w:spacing w:after="0" w:line="240" w:lineRule="auto"/>
              <w:ind w:left="-105" w:right="-135"/>
              <w:textAlignment w:val="baseline"/>
              <w:rPr>
                <w:rFonts w:cstheme="minorHAnsi"/>
                <w:color w:val="002060"/>
                <w:sz w:val="16"/>
                <w:szCs w:val="16"/>
                <w:lang w:val="el"/>
              </w:rPr>
            </w:pPr>
          </w:p>
        </w:tc>
        <w:tc>
          <w:tcPr>
            <w:tcW w:w="2295" w:type="dxa"/>
            <w:shd w:val="clear" w:color="auto" w:fill="auto"/>
          </w:tcPr>
          <w:p w:rsidR="00F43CEE" w:rsidRPr="00DC42F4" w:rsidRDefault="00F43CEE" w:rsidP="00C822DB">
            <w:pPr>
              <w:spacing w:after="0" w:line="240" w:lineRule="auto"/>
              <w:textAlignment w:val="baseline"/>
              <w:rPr>
                <w:b/>
                <w:color w:val="002060"/>
                <w:sz w:val="16"/>
                <w:szCs w:val="16"/>
                <w:lang w:val="el"/>
              </w:rPr>
            </w:pPr>
            <w:proofErr w:type="spellStart"/>
            <w:r w:rsidRPr="00DC42F4">
              <w:rPr>
                <w:b/>
                <w:color w:val="002060"/>
                <w:sz w:val="16"/>
                <w:szCs w:val="16"/>
                <w:lang w:val="el"/>
              </w:rPr>
              <w:t>Pro-forma</w:t>
            </w:r>
            <w:proofErr w:type="spellEnd"/>
            <w:r w:rsidRPr="00DC42F4">
              <w:rPr>
                <w:b/>
                <w:color w:val="002060"/>
                <w:sz w:val="16"/>
                <w:szCs w:val="16"/>
                <w:lang w:val="el"/>
              </w:rPr>
              <w:t xml:space="preserve"> Δείκτης Κεφαλαιακής Επάρκειας CET-1</w:t>
            </w:r>
          </w:p>
        </w:tc>
        <w:tc>
          <w:tcPr>
            <w:tcW w:w="5070" w:type="dxa"/>
            <w:shd w:val="clear" w:color="auto" w:fill="FFFFFF"/>
          </w:tcPr>
          <w:p w:rsidR="00F43CEE" w:rsidRPr="00DC42F4" w:rsidRDefault="00F43CEE" w:rsidP="00C822DB">
            <w:pPr>
              <w:spacing w:after="0" w:line="240" w:lineRule="auto"/>
              <w:textAlignment w:val="baseline"/>
              <w:rPr>
                <w:sz w:val="16"/>
                <w:szCs w:val="16"/>
                <w:lang w:val="el"/>
              </w:rPr>
            </w:pPr>
            <w:r w:rsidRPr="00DC42F4">
              <w:rPr>
                <w:sz w:val="16"/>
                <w:szCs w:val="16"/>
                <w:lang w:val="el"/>
              </w:rPr>
              <w:t xml:space="preserve">Κεφάλαια CET1, όπως ορίζονται από την Οδηγία (EU) </w:t>
            </w:r>
            <w:proofErr w:type="spellStart"/>
            <w:r w:rsidRPr="00DC42F4">
              <w:rPr>
                <w:sz w:val="16"/>
                <w:szCs w:val="16"/>
                <w:lang w:val="el"/>
              </w:rPr>
              <w:t>No</w:t>
            </w:r>
            <w:proofErr w:type="spellEnd"/>
            <w:r w:rsidRPr="00DC42F4">
              <w:rPr>
                <w:sz w:val="16"/>
                <w:szCs w:val="16"/>
                <w:lang w:val="el"/>
              </w:rPr>
              <w:t xml:space="preserve"> 575/2013, με την εφαρμογή μεταβατικών διατάξεων για την επίπτωση της πρώτης εφαρμογής του ΔΠΧΠ 9, προσθέτοντας (+) τα κέρδη/ζημίες περιόδου στον αριθμητή (κεφάλαια) και αφαιρώντας (-) </w:t>
            </w:r>
            <w:proofErr w:type="spellStart"/>
            <w:r w:rsidRPr="00DC42F4">
              <w:rPr>
                <w:sz w:val="16"/>
                <w:szCs w:val="16"/>
                <w:lang w:val="el"/>
              </w:rPr>
              <w:t>διακρατούμενα</w:t>
            </w:r>
            <w:proofErr w:type="spellEnd"/>
            <w:r w:rsidRPr="00DC42F4">
              <w:rPr>
                <w:sz w:val="16"/>
                <w:szCs w:val="16"/>
                <w:lang w:val="el"/>
              </w:rPr>
              <w:t xml:space="preserve"> για πώληση χαρτοφυλάκια ύψους  €0,3δις από τον παρονομαστή.</w:t>
            </w:r>
          </w:p>
        </w:tc>
      </w:tr>
    </w:tbl>
    <w:p w:rsidR="0047440D" w:rsidRPr="003E3845" w:rsidRDefault="0047440D" w:rsidP="0047440D">
      <w:pPr>
        <w:spacing w:line="300" w:lineRule="exact"/>
        <w:ind w:left="-142" w:right="28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Default="003E3845" w:rsidP="003E3845">
      <w:pPr>
        <w:spacing w:line="300" w:lineRule="exact"/>
        <w:ind w:left="-142"/>
        <w:jc w:val="both"/>
        <w:rPr>
          <w:rFonts w:ascii="Calibri" w:eastAsia="Calibri" w:hAnsi="Calibri"/>
          <w:color w:val="3C3B2F"/>
          <w:kern w:val="24"/>
          <w:sz w:val="15"/>
          <w:szCs w:val="15"/>
        </w:rPr>
      </w:pPr>
    </w:p>
    <w:p w:rsidR="003E3845" w:rsidRPr="00A232B6" w:rsidRDefault="003E3845" w:rsidP="003E3845">
      <w:pPr>
        <w:spacing w:line="300" w:lineRule="exact"/>
        <w:ind w:left="-142"/>
        <w:jc w:val="both"/>
        <w:rPr>
          <w:rFonts w:ascii="Calibri" w:eastAsia="Calibri" w:hAnsi="Calibri"/>
          <w:color w:val="3C3B2F"/>
          <w:kern w:val="24"/>
          <w:sz w:val="15"/>
          <w:szCs w:val="15"/>
        </w:rPr>
      </w:pPr>
      <w:r w:rsidRPr="00A232B6">
        <w:rPr>
          <w:rFonts w:ascii="Calibri" w:eastAsia="Calibri" w:hAnsi="Calibri"/>
          <w:color w:val="3C3B2F"/>
          <w:kern w:val="24"/>
          <w:sz w:val="15"/>
          <w:szCs w:val="15"/>
        </w:rPr>
        <w:t>Η παρούσα ανακοίνωση έχει συνταχθεί αποκλειστικά για ενημερωτικούς σκοπούς. Οποιεσδήποτε προβλέψεις ή άλλες εκτιμήσεις στην παρούσα ανακοίνωση, συμπεριλαμβανομένων εκτιμήσεων αναφορικά με την απόδοση και την επίδοσή μας και παρατηρήσεων αναφορικά με τους στόχους και τη στρατηγική μας ή τα αποτελέσματα των δραστηριοτήτων και επιχειρήσεών μας, υπερισχύουν τυχόν προηγούμενων σχετικών προβλέψεων ή άλλων εκτιμήσεων και αποτελούν δηλώσεις για μελλοντικές εκτιμήσεις βασισμένες σε υποθέσεις και πεποιθήσεις, σε συνάρτηση με πληροφόρηση που είναι διαθέσιμη προς το παρόν στην Τράπεζα, η οποία μπορεί να μην είναι η ορθή. Αυτές οι υποθέσεις και πεποιθήσεις μπορεί να επηρεάζονται από παράγοντες που βρίσκονται εντός ή εκτός του ελέγχου μας και τα πραγματικά αποτελέσματα μπορεί να αποκλίνουν σημαντικά από οποιεσδήποτε εκτιμήσεις και προβλέψεις. Παράγοντες που επηρεάζουν τα πραγματικά αποτελέσματα περιλαμβάνουν, μεταξύ άλλων, διακυμάνσεις των επιτοκίων και των χρηματιστηριακών δεικτών, τις επιπτώσεις του ανταγωνισμού στους τομείς στους οποίους δραστηριοποιούμαστε και τις αλλαγές στις οικονομικές συνθήκες και στο κανονιστικό πλαίσιο.</w:t>
      </w:r>
    </w:p>
    <w:p w:rsidR="003E3845" w:rsidRPr="00B71EE9" w:rsidRDefault="003E3845" w:rsidP="003E3845">
      <w:pPr>
        <w:spacing w:after="120" w:line="300" w:lineRule="exact"/>
        <w:ind w:left="-142"/>
        <w:jc w:val="both"/>
        <w:rPr>
          <w:rFonts w:ascii="Calibri" w:eastAsia="Calibri" w:hAnsi="Calibri"/>
          <w:color w:val="3C3B2F"/>
          <w:kern w:val="24"/>
          <w:sz w:val="15"/>
          <w:szCs w:val="15"/>
        </w:rPr>
      </w:pPr>
      <w:r w:rsidRPr="00DB55FB">
        <w:rPr>
          <w:rFonts w:ascii="Calibri" w:eastAsia="Calibri" w:hAnsi="Calibri"/>
          <w:color w:val="3C3B2F"/>
          <w:kern w:val="24"/>
          <w:sz w:val="15"/>
          <w:szCs w:val="15"/>
        </w:rPr>
        <w:t>Αυτό το δελτίο τύπου δεν αποτελεί προσ</w:t>
      </w:r>
      <w:r>
        <w:rPr>
          <w:rFonts w:ascii="Calibri" w:eastAsia="Calibri" w:hAnsi="Calibri"/>
          <w:color w:val="3C3B2F"/>
          <w:kern w:val="24"/>
          <w:sz w:val="15"/>
          <w:szCs w:val="15"/>
        </w:rPr>
        <w:t>φορά αγοράς ή πώλησης ή διαμεσολάβηση</w:t>
      </w:r>
      <w:r w:rsidRPr="00DB55FB">
        <w:rPr>
          <w:rFonts w:ascii="Calibri" w:eastAsia="Calibri" w:hAnsi="Calibri"/>
          <w:color w:val="3C3B2F"/>
          <w:kern w:val="24"/>
          <w:sz w:val="15"/>
          <w:szCs w:val="15"/>
        </w:rPr>
        <w:t xml:space="preserve"> προσφοράς για αγορά ή πώληση οποιουδήποτε χρεογράφου ή μέσου ή για συμμετοχή σε οποιαδήποτε επενδυτική στρατηγική. Κανένα μέρος αυτού του δελτίου τύπου δεν μπορεί να θεωρηθεί ως επενδυτική συμβουλή ή σύσταση για πραγματοποίηση οποιασδήποτε συναλλαγής. Δεν παρέχεται καμία δήλωση ή εγγύηση σχετικά με την ακρίβεια ή την πληρότητα των πληροφοριών που περιέχονται σε αυτό το δελτίο τύπου και κανένας ισχυρισμός δεν γίνεται ότι οποιαδήποτε μελλοντική προσφορά για συναλλαγή οποιωνδήποτε χρεογράφων θα συμμορφώνεται με τυχόν όρους που πιθανόν να περιλαμβάνονται στο παρόν. Πριν από οποιαδήποτε συναλλαγή, οι επενδυτές θα πρέπει να προσδιορίσουν τους οικονομικούς κινδύνους και τα οφέλη, καθώς και τις νομικές, φορολογικές και λογιστικές συνέπειες, καθώς και την ικανότητά τους να αναλάβουν τέτοιους κινδύνους, χωρίς να βασίζονται στις πληροφορίες που περιέχονται στην παρούσα παρουσίαση.</w:t>
      </w:r>
    </w:p>
    <w:p w:rsidR="003E3845" w:rsidRDefault="003E3845" w:rsidP="003E3845">
      <w:pPr>
        <w:spacing w:after="120"/>
        <w:ind w:left="-142"/>
        <w:jc w:val="both"/>
        <w:rPr>
          <w:rFonts w:ascii="Calibri" w:eastAsia="Calibri" w:hAnsi="Calibri"/>
          <w:b/>
          <w:color w:val="003C96"/>
          <w:kern w:val="24"/>
          <w:sz w:val="18"/>
          <w:szCs w:val="18"/>
        </w:rPr>
      </w:pPr>
    </w:p>
    <w:p w:rsidR="003E3845" w:rsidRDefault="003E3845" w:rsidP="003E3845">
      <w:pPr>
        <w:spacing w:after="120"/>
        <w:ind w:left="-142"/>
        <w:jc w:val="both"/>
        <w:rPr>
          <w:rFonts w:ascii="Calibri" w:eastAsia="Calibri" w:hAnsi="Calibri"/>
          <w:b/>
          <w:color w:val="003C96"/>
          <w:kern w:val="24"/>
          <w:sz w:val="18"/>
          <w:szCs w:val="18"/>
        </w:rPr>
      </w:pPr>
    </w:p>
    <w:p w:rsidR="003E3845" w:rsidRPr="00842A67" w:rsidRDefault="003E3845" w:rsidP="003E3845">
      <w:pPr>
        <w:spacing w:after="120"/>
        <w:ind w:left="-142"/>
        <w:jc w:val="both"/>
        <w:rPr>
          <w:rFonts w:ascii="Calibri" w:eastAsia="Calibri" w:hAnsi="Calibri"/>
          <w:b/>
          <w:color w:val="003C96"/>
          <w:kern w:val="24"/>
          <w:sz w:val="18"/>
          <w:szCs w:val="18"/>
          <w:lang w:val="en-US"/>
        </w:rPr>
      </w:pPr>
      <w:r w:rsidRPr="00842A67">
        <w:rPr>
          <w:rFonts w:ascii="Calibri" w:eastAsia="Calibri" w:hAnsi="Calibri"/>
          <w:b/>
          <w:color w:val="003C96"/>
          <w:kern w:val="24"/>
          <w:sz w:val="18"/>
          <w:szCs w:val="18"/>
          <w:lang w:val="en-US"/>
        </w:rPr>
        <w:t>Corporate Development &amp; Investor Relations</w:t>
      </w:r>
    </w:p>
    <w:p w:rsidR="003E3845" w:rsidRPr="00DA0424" w:rsidRDefault="003E3845" w:rsidP="003E3845">
      <w:pPr>
        <w:spacing w:after="120"/>
        <w:ind w:left="-142"/>
        <w:jc w:val="both"/>
        <w:rPr>
          <w:rFonts w:ascii="Calibri" w:eastAsia="Calibri" w:hAnsi="Calibri"/>
          <w:color w:val="3C3B2F"/>
          <w:kern w:val="24"/>
          <w:sz w:val="15"/>
          <w:szCs w:val="15"/>
          <w:lang w:val="en-US"/>
        </w:rPr>
      </w:pPr>
      <w:r>
        <w:rPr>
          <w:rFonts w:ascii="Calibri" w:eastAsia="Calibri" w:hAnsi="Calibri"/>
          <w:color w:val="3C3B2F"/>
          <w:kern w:val="24"/>
          <w:sz w:val="15"/>
          <w:szCs w:val="15"/>
        </w:rPr>
        <w:t>Αμερικής</w:t>
      </w:r>
      <w:r w:rsidRPr="00084FE8">
        <w:rPr>
          <w:rFonts w:ascii="Calibri" w:eastAsia="Calibri" w:hAnsi="Calibri"/>
          <w:color w:val="3C3B2F"/>
          <w:kern w:val="24"/>
          <w:sz w:val="15"/>
          <w:szCs w:val="15"/>
          <w:lang w:val="en-US"/>
        </w:rPr>
        <w:t xml:space="preserve"> </w:t>
      </w:r>
      <w:r>
        <w:rPr>
          <w:rFonts w:ascii="Calibri" w:eastAsia="Calibri" w:hAnsi="Calibri"/>
          <w:color w:val="3C3B2F"/>
          <w:kern w:val="24"/>
          <w:sz w:val="15"/>
          <w:szCs w:val="15"/>
          <w:lang w:val="en-US"/>
        </w:rPr>
        <w:t xml:space="preserve">4, 105 64 </w:t>
      </w:r>
      <w:proofErr w:type="spellStart"/>
      <w:r>
        <w:rPr>
          <w:rFonts w:ascii="Calibri" w:eastAsia="Calibri" w:hAnsi="Calibri"/>
          <w:color w:val="3C3B2F"/>
          <w:kern w:val="24"/>
          <w:sz w:val="15"/>
          <w:szCs w:val="15"/>
          <w:lang w:val="en-US"/>
        </w:rPr>
        <w:t>Αθ</w:t>
      </w:r>
      <w:r>
        <w:rPr>
          <w:rFonts w:ascii="Calibri" w:eastAsia="Calibri" w:hAnsi="Calibri"/>
          <w:color w:val="3C3B2F"/>
          <w:kern w:val="24"/>
          <w:sz w:val="15"/>
          <w:szCs w:val="15"/>
        </w:rPr>
        <w:t>ήνα</w:t>
      </w:r>
      <w:proofErr w:type="spellEnd"/>
    </w:p>
    <w:p w:rsidR="003E3845" w:rsidRPr="00842A67" w:rsidRDefault="003E3845" w:rsidP="003E3845">
      <w:pPr>
        <w:spacing w:after="120"/>
        <w:ind w:left="-142"/>
        <w:jc w:val="both"/>
        <w:rPr>
          <w:rFonts w:ascii="Calibri" w:eastAsia="Calibri" w:hAnsi="Calibri"/>
          <w:color w:val="3C3B2F"/>
          <w:kern w:val="24"/>
          <w:sz w:val="15"/>
          <w:szCs w:val="15"/>
          <w:lang w:val="en-US"/>
        </w:rPr>
      </w:pPr>
      <w:proofErr w:type="spellStart"/>
      <w:r>
        <w:rPr>
          <w:rFonts w:ascii="Calibri" w:eastAsia="Calibri" w:hAnsi="Calibri"/>
          <w:color w:val="3C3B2F"/>
          <w:kern w:val="24"/>
          <w:sz w:val="15"/>
          <w:szCs w:val="15"/>
          <w:lang w:val="en-US"/>
        </w:rPr>
        <w:t>Τηλ</w:t>
      </w:r>
      <w:proofErr w:type="spellEnd"/>
      <w:proofErr w:type="gramStart"/>
      <w:r w:rsidRPr="00842A67">
        <w:rPr>
          <w:rFonts w:ascii="Calibri" w:eastAsia="Calibri" w:hAnsi="Calibri"/>
          <w:color w:val="3C3B2F"/>
          <w:kern w:val="24"/>
          <w:sz w:val="15"/>
          <w:szCs w:val="15"/>
          <w:lang w:val="en-US"/>
        </w:rPr>
        <w:t>. :</w:t>
      </w:r>
      <w:proofErr w:type="gramEnd"/>
      <w:r w:rsidRPr="00842A67">
        <w:rPr>
          <w:rFonts w:ascii="Calibri" w:eastAsia="Calibri" w:hAnsi="Calibri"/>
          <w:color w:val="3C3B2F"/>
          <w:kern w:val="24"/>
          <w:sz w:val="15"/>
          <w:szCs w:val="15"/>
          <w:lang w:val="en-US"/>
        </w:rPr>
        <w:t xml:space="preserve"> (+30 ) 210 3335026</w:t>
      </w:r>
    </w:p>
    <w:p w:rsidR="003E3845" w:rsidRDefault="003E3845" w:rsidP="003E3845">
      <w:pPr>
        <w:spacing w:after="120"/>
        <w:ind w:left="-142"/>
        <w:jc w:val="both"/>
        <w:rPr>
          <w:rFonts w:ascii="Calibri" w:eastAsia="Calibri" w:hAnsi="Calibri"/>
          <w:color w:val="3C3B2F"/>
          <w:kern w:val="24"/>
          <w:sz w:val="15"/>
          <w:szCs w:val="15"/>
          <w:lang w:val="en-US"/>
        </w:rPr>
      </w:pPr>
      <w:r w:rsidRPr="00842A67">
        <w:rPr>
          <w:rFonts w:ascii="Calibri" w:eastAsia="Calibri" w:hAnsi="Calibri"/>
          <w:color w:val="3C3B2F"/>
          <w:kern w:val="24"/>
          <w:sz w:val="15"/>
          <w:szCs w:val="15"/>
          <w:lang w:val="en-US"/>
        </w:rPr>
        <w:t xml:space="preserve">Bloomberg: TPEIR GA </w:t>
      </w:r>
      <w:r>
        <w:rPr>
          <w:rFonts w:ascii="Calibri" w:eastAsia="Calibri" w:hAnsi="Calibri"/>
          <w:color w:val="3C3B2F"/>
          <w:kern w:val="24"/>
          <w:sz w:val="15"/>
          <w:szCs w:val="15"/>
          <w:lang w:val="en-US"/>
        </w:rPr>
        <w:t xml:space="preserve">| </w:t>
      </w:r>
      <w:r w:rsidRPr="00842A67">
        <w:rPr>
          <w:rFonts w:ascii="Calibri" w:eastAsia="Calibri" w:hAnsi="Calibri"/>
          <w:color w:val="3C3B2F"/>
          <w:kern w:val="24"/>
          <w:sz w:val="15"/>
          <w:szCs w:val="15"/>
          <w:lang w:val="en-US"/>
        </w:rPr>
        <w:t xml:space="preserve">Reuters: BOPr.AT </w:t>
      </w:r>
    </w:p>
    <w:p w:rsidR="003E3845" w:rsidRDefault="003E3845" w:rsidP="003E3845">
      <w:pPr>
        <w:spacing w:after="120"/>
        <w:ind w:left="-142"/>
        <w:jc w:val="both"/>
        <w:rPr>
          <w:rFonts w:ascii="Calibri" w:eastAsia="Calibri" w:hAnsi="Calibri"/>
          <w:color w:val="3C3B2F"/>
          <w:kern w:val="24"/>
          <w:sz w:val="15"/>
          <w:szCs w:val="15"/>
          <w:lang w:val="en-US"/>
        </w:rPr>
      </w:pPr>
      <w:r w:rsidRPr="00842A67">
        <w:rPr>
          <w:rFonts w:ascii="Calibri" w:eastAsia="Calibri" w:hAnsi="Calibri"/>
          <w:color w:val="3C3B2F"/>
          <w:kern w:val="24"/>
          <w:sz w:val="15"/>
          <w:szCs w:val="15"/>
          <w:lang w:val="en-US"/>
        </w:rPr>
        <w:t xml:space="preserve">ISIN: GRS014003024  </w:t>
      </w:r>
    </w:p>
    <w:p w:rsidR="003E3845" w:rsidRPr="00842A67" w:rsidRDefault="003E3845" w:rsidP="003E3845">
      <w:pPr>
        <w:spacing w:after="120"/>
        <w:ind w:left="-142"/>
        <w:jc w:val="both"/>
        <w:rPr>
          <w:rFonts w:ascii="Calibri" w:eastAsia="Calibri" w:hAnsi="Calibri"/>
          <w:color w:val="3C3B2F"/>
          <w:kern w:val="24"/>
          <w:sz w:val="15"/>
          <w:szCs w:val="15"/>
          <w:lang w:val="en-US"/>
        </w:rPr>
      </w:pPr>
      <w:r w:rsidRPr="00842A67">
        <w:rPr>
          <w:rFonts w:ascii="Calibri" w:eastAsia="Calibri" w:hAnsi="Calibri"/>
          <w:color w:val="3C3B2F"/>
          <w:kern w:val="24"/>
          <w:sz w:val="15"/>
          <w:szCs w:val="15"/>
          <w:lang w:val="en-US"/>
        </w:rPr>
        <w:t>investor_relations@piraeusbank.gr</w:t>
      </w:r>
    </w:p>
    <w:p w:rsidR="003E3845" w:rsidRPr="00734C4A" w:rsidRDefault="003E3845" w:rsidP="003E3845">
      <w:pPr>
        <w:spacing w:after="120"/>
        <w:ind w:left="-142"/>
        <w:jc w:val="both"/>
        <w:rPr>
          <w:rFonts w:ascii="Calibri" w:eastAsia="Calibri" w:hAnsi="Calibri"/>
          <w:color w:val="3C3B2F"/>
          <w:kern w:val="24"/>
          <w:sz w:val="15"/>
          <w:szCs w:val="15"/>
          <w:lang w:val="en-US"/>
        </w:rPr>
      </w:pPr>
      <w:r w:rsidRPr="00842A67">
        <w:rPr>
          <w:rFonts w:ascii="Calibri" w:eastAsia="Calibri" w:hAnsi="Calibri"/>
          <w:color w:val="3C3B2F"/>
          <w:kern w:val="24"/>
          <w:sz w:val="15"/>
          <w:szCs w:val="15"/>
          <w:lang w:val="en-US"/>
        </w:rPr>
        <w:t>www.piraeusbankgroup.com</w:t>
      </w:r>
    </w:p>
    <w:p w:rsidR="00CA0A30" w:rsidRPr="004945B8" w:rsidRDefault="00CA0A30" w:rsidP="003E3845">
      <w:pPr>
        <w:spacing w:line="300" w:lineRule="exact"/>
        <w:ind w:left="-142" w:right="282"/>
        <w:jc w:val="both"/>
        <w:rPr>
          <w:rFonts w:ascii="Calibri" w:eastAsia="Calibri" w:hAnsi="Calibri"/>
          <w:color w:val="3C3B2F"/>
          <w:kern w:val="24"/>
          <w:sz w:val="15"/>
          <w:szCs w:val="15"/>
          <w:lang w:val="en-US"/>
        </w:rPr>
      </w:pPr>
    </w:p>
    <w:sectPr w:rsidR="00CA0A30" w:rsidRPr="004945B8" w:rsidSect="00570C53">
      <w:headerReference w:type="default" r:id="rId19"/>
      <w:footerReference w:type="default" r:id="rId20"/>
      <w:headerReference w:type="first" r:id="rId21"/>
      <w:footerReference w:type="first" r:id="rId22"/>
      <w:pgSz w:w="11906" w:h="16838" w:code="9"/>
      <w:pgMar w:top="2410" w:right="1134" w:bottom="1134" w:left="2977"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5B" w:rsidRDefault="00FF0D5B" w:rsidP="00A14E18">
      <w:pPr>
        <w:spacing w:after="0" w:line="240" w:lineRule="auto"/>
      </w:pPr>
      <w:r>
        <w:separator/>
      </w:r>
    </w:p>
  </w:endnote>
  <w:endnote w:type="continuationSeparator" w:id="0">
    <w:p w:rsidR="00FF0D5B" w:rsidRDefault="00FF0D5B" w:rsidP="00A14E18">
      <w:pPr>
        <w:spacing w:after="0" w:line="240" w:lineRule="auto"/>
      </w:pPr>
      <w:r>
        <w:continuationSeparator/>
      </w:r>
    </w:p>
  </w:endnote>
  <w:endnote w:type="continuationNotice" w:id="1">
    <w:p w:rsidR="00FF0D5B" w:rsidRDefault="00FF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Piraeus Sans">
    <w:altName w:val="Calibri"/>
    <w:charset w:val="00"/>
    <w:family w:val="swiss"/>
    <w:pitch w:val="variable"/>
    <w:sig w:usb0="00000001" w:usb1="4000205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12" w:rsidRDefault="009B7A12" w:rsidP="006E0C7E">
    <w:pPr>
      <w:pStyle w:val="Footer"/>
      <w:ind w:right="-427"/>
      <w:jc w:val="right"/>
    </w:pPr>
    <w:r w:rsidRPr="00570C53">
      <w:rPr>
        <w:noProof/>
        <w:lang w:val="en-GB" w:eastAsia="en-GB"/>
      </w:rPr>
      <w:drawing>
        <wp:anchor distT="0" distB="0" distL="114300" distR="114300" simplePos="0" relativeHeight="251715584" behindDoc="0" locked="0" layoutInCell="1" allowOverlap="1" wp14:anchorId="6B0E04AB" wp14:editId="13D60BC9">
          <wp:simplePos x="0" y="0"/>
          <wp:positionH relativeFrom="column">
            <wp:posOffset>4446905</wp:posOffset>
          </wp:positionH>
          <wp:positionV relativeFrom="paragraph">
            <wp:posOffset>133350</wp:posOffset>
          </wp:positionV>
          <wp:extent cx="791845" cy="334645"/>
          <wp:effectExtent l="0" t="0" r="8255" b="8255"/>
          <wp:wrapNone/>
          <wp:docPr id="87"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r w:rsidRPr="00570C53">
      <w:rPr>
        <w:noProof/>
        <w:lang w:val="en-GB" w:eastAsia="en-GB"/>
      </w:rPr>
      <w:drawing>
        <wp:anchor distT="0" distB="0" distL="114300" distR="114300" simplePos="0" relativeHeight="251696127" behindDoc="0" locked="0" layoutInCell="1" allowOverlap="1" wp14:anchorId="28089E83" wp14:editId="6DB5D8F6">
          <wp:simplePos x="0" y="0"/>
          <wp:positionH relativeFrom="column">
            <wp:posOffset>-1895475</wp:posOffset>
          </wp:positionH>
          <wp:positionV relativeFrom="paragraph">
            <wp:posOffset>269875</wp:posOffset>
          </wp:positionV>
          <wp:extent cx="7571740" cy="40005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97152" behindDoc="0" locked="0" layoutInCell="1" allowOverlap="1" wp14:anchorId="0E3117C7" wp14:editId="59FBBA54">
              <wp:simplePos x="0" y="0"/>
              <wp:positionH relativeFrom="column">
                <wp:posOffset>-1129614</wp:posOffset>
              </wp:positionH>
              <wp:positionV relativeFrom="paragraph">
                <wp:posOffset>285076</wp:posOffset>
              </wp:positionV>
              <wp:extent cx="4603750" cy="382073"/>
              <wp:effectExtent l="0"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82073"/>
                        <a:chOff x="2176" y="16133"/>
                        <a:chExt cx="7196" cy="534"/>
                      </a:xfrm>
                    </wpg:grpSpPr>
                    <wps:wsp>
                      <wps:cNvPr id="8" name="Text Box 13"/>
                      <wps:cNvSpPr txBox="1">
                        <a:spLocks noChangeArrowheads="1"/>
                      </wps:cNvSpPr>
                      <wps:spPr bwMode="auto">
                        <a:xfrm>
                          <a:off x="2176" y="16133"/>
                          <a:ext cx="68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12" w:rsidRPr="00867605" w:rsidRDefault="009B7A12" w:rsidP="00C33762">
                            <w:pPr>
                              <w:jc w:val="right"/>
                              <w:rPr>
                                <w:color w:val="FFC000"/>
                              </w:rPr>
                            </w:pPr>
                            <w:r w:rsidRPr="00867605">
                              <w:rPr>
                                <w:color w:val="FFC000"/>
                              </w:rPr>
                              <w:fldChar w:fldCharType="begin"/>
                            </w:r>
                            <w:r w:rsidRPr="00867605">
                              <w:rPr>
                                <w:color w:val="FFC000"/>
                              </w:rPr>
                              <w:instrText xml:space="preserve"> PAGE   \* MERGEFORMAT </w:instrText>
                            </w:r>
                            <w:r w:rsidRPr="00867605">
                              <w:rPr>
                                <w:color w:val="FFC000"/>
                              </w:rPr>
                              <w:fldChar w:fldCharType="separate"/>
                            </w:r>
                            <w:r w:rsidR="00FB0D59">
                              <w:rPr>
                                <w:noProof/>
                                <w:color w:val="FFC000"/>
                              </w:rPr>
                              <w:t>11</w:t>
                            </w:r>
                            <w:r w:rsidRPr="00867605">
                              <w:rPr>
                                <w:noProof/>
                                <w:color w:val="FFC000"/>
                              </w:rPr>
                              <w:fldChar w:fldCharType="end"/>
                            </w:r>
                          </w:p>
                        </w:txbxContent>
                      </wps:txbx>
                      <wps:bodyPr rot="0" vert="horz" wrap="square" lIns="91440" tIns="45720" rIns="0" bIns="45720" anchor="t" anchorCtr="0" upright="1">
                        <a:noAutofit/>
                      </wps:bodyPr>
                    </wps:wsp>
                    <wps:wsp>
                      <wps:cNvPr id="9" name="Text Box 14"/>
                      <wps:cNvSpPr txBox="1">
                        <a:spLocks noChangeArrowheads="1"/>
                      </wps:cNvSpPr>
                      <wps:spPr bwMode="auto">
                        <a:xfrm>
                          <a:off x="2944" y="16136"/>
                          <a:ext cx="64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12" w:rsidRPr="00796D7D" w:rsidRDefault="009B7A12">
                            <w:pPr>
                              <w:rPr>
                                <w:color w:val="FFFFFF" w:themeColor="background1"/>
                                <w:lang w:val="en-US"/>
                              </w:rPr>
                            </w:pPr>
                            <w:r w:rsidRPr="00D87750">
                              <w:rPr>
                                <w:color w:val="FFFFFF" w:themeColor="background1"/>
                              </w:rPr>
                              <w:t>|</w:t>
                            </w:r>
                            <w:r>
                              <w:rPr>
                                <w:color w:val="FFFFFF" w:themeColor="background1"/>
                                <w:lang w:val="en-US"/>
                              </w:rPr>
                              <w:t xml:space="preserve"> 1</w:t>
                            </w:r>
                            <w:r>
                              <w:rPr>
                                <w:color w:val="FFFFFF" w:themeColor="background1"/>
                              </w:rPr>
                              <w:t xml:space="preserve"> Ιουνίου </w:t>
                            </w:r>
                            <w:r w:rsidRPr="00D87750">
                              <w:rPr>
                                <w:color w:val="FFFFFF" w:themeColor="background1"/>
                                <w:lang w:val="en-US"/>
                              </w:rPr>
                              <w:t>2</w:t>
                            </w:r>
                            <w:r w:rsidRPr="00D87750">
                              <w:rPr>
                                <w:color w:val="FFFFFF" w:themeColor="background1"/>
                              </w:rPr>
                              <w:t>0</w:t>
                            </w:r>
                            <w:r>
                              <w:rPr>
                                <w:color w:val="FFFFFF" w:themeColor="background1"/>
                                <w:lang w:val="en-US"/>
                              </w:rPr>
                              <w:t>20</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117C7" id="Group 15" o:spid="_x0000_s1038" style="position:absolute;left:0;text-align:left;margin-left:-88.95pt;margin-top:22.45pt;width:362.5pt;height:30.1pt;z-index:251697152" coordorigin="2176,16133" coordsize="719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">
              <v:shapetype id="_x0000_t202" coordsize="21600,21600" o:spt="202" path="m,l,21600r21600,l21600,xe">
                <v:stroke joinstyle="miter"/>
                <v:path gradientshapeok="t" o:connecttype="rect"/>
              </v:shapetype>
              <v:shape id="Text Box 13" o:spid="_x0000_s1039" type="#_x0000_t202" style="position:absolute;left:2176;top:16133;width:68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" filled="f" stroked="f">
                <v:textbox inset=",,0">
                  <w:txbxContent>
                    <w:p w:rsidR="009B7A12" w:rsidRPr="00867605" w:rsidRDefault="009B7A12" w:rsidP="00C33762">
                      <w:pPr>
                        <w:jc w:val="right"/>
                        <w:rPr>
                          <w:color w:val="FFC000"/>
                        </w:rPr>
                      </w:pPr>
                      <w:r w:rsidRPr="00867605">
                        <w:rPr>
                          <w:color w:val="FFC000"/>
                        </w:rPr>
                        <w:fldChar w:fldCharType="begin"/>
                      </w:r>
                      <w:r w:rsidRPr="00867605">
                        <w:rPr>
                          <w:color w:val="FFC000"/>
                        </w:rPr>
                        <w:instrText xml:space="preserve"> PAGE   \* MERGEFORMAT </w:instrText>
                      </w:r>
                      <w:r w:rsidRPr="00867605">
                        <w:rPr>
                          <w:color w:val="FFC000"/>
                        </w:rPr>
                        <w:fldChar w:fldCharType="separate"/>
                      </w:r>
                      <w:r w:rsidR="00FB0D59">
                        <w:rPr>
                          <w:noProof/>
                          <w:color w:val="FFC000"/>
                        </w:rPr>
                        <w:t>11</w:t>
                      </w:r>
                      <w:r w:rsidRPr="00867605">
                        <w:rPr>
                          <w:noProof/>
                          <w:color w:val="FFC000"/>
                        </w:rPr>
                        <w:fldChar w:fldCharType="end"/>
                      </w:r>
                    </w:p>
                  </w:txbxContent>
                </v:textbox>
              </v:shape>
              <v:shape id="Text Box 14" o:spid="_x0000_s1040" type="#_x0000_t202" style="position:absolute;left:2944;top:16136;width:64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" filled="f" stroked="f">
                <v:textbox inset="0">
                  <w:txbxContent>
                    <w:p w:rsidR="009B7A12" w:rsidRPr="00796D7D" w:rsidRDefault="009B7A12">
                      <w:pPr>
                        <w:rPr>
                          <w:color w:val="FFFFFF" w:themeColor="background1"/>
                          <w:lang w:val="en-US"/>
                        </w:rPr>
                      </w:pPr>
                      <w:r w:rsidRPr="00D87750">
                        <w:rPr>
                          <w:color w:val="FFFFFF" w:themeColor="background1"/>
                        </w:rPr>
                        <w:t>|</w:t>
                      </w:r>
                      <w:r>
                        <w:rPr>
                          <w:color w:val="FFFFFF" w:themeColor="background1"/>
                          <w:lang w:val="en-US"/>
                        </w:rPr>
                        <w:t xml:space="preserve"> 1</w:t>
                      </w:r>
                      <w:r>
                        <w:rPr>
                          <w:color w:val="FFFFFF" w:themeColor="background1"/>
                        </w:rPr>
                        <w:t xml:space="preserve"> Ιουνίου </w:t>
                      </w:r>
                      <w:r w:rsidRPr="00D87750">
                        <w:rPr>
                          <w:color w:val="FFFFFF" w:themeColor="background1"/>
                          <w:lang w:val="en-US"/>
                        </w:rPr>
                        <w:t>2</w:t>
                      </w:r>
                      <w:r w:rsidRPr="00D87750">
                        <w:rPr>
                          <w:color w:val="FFFFFF" w:themeColor="background1"/>
                        </w:rPr>
                        <w:t>0</w:t>
                      </w:r>
                      <w:r>
                        <w:rPr>
                          <w:color w:val="FFFFFF" w:themeColor="background1"/>
                          <w:lang w:val="en-US"/>
                        </w:rPr>
                        <w:t>20</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12" w:rsidRDefault="009B7A12">
    <w:pPr>
      <w:pStyle w:val="Footer"/>
    </w:pPr>
    <w:r>
      <w:rPr>
        <w:noProof/>
        <w:lang w:val="en-GB" w:eastAsia="en-GB"/>
      </w:rPr>
      <w:drawing>
        <wp:anchor distT="0" distB="0" distL="114300" distR="114300" simplePos="0" relativeHeight="251706367" behindDoc="0" locked="0" layoutInCell="1" allowOverlap="1">
          <wp:simplePos x="0" y="0"/>
          <wp:positionH relativeFrom="column">
            <wp:posOffset>-1899920</wp:posOffset>
          </wp:positionH>
          <wp:positionV relativeFrom="paragraph">
            <wp:posOffset>212725</wp:posOffset>
          </wp:positionV>
          <wp:extent cx="7571740" cy="400050"/>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7392" behindDoc="0" locked="0" layoutInCell="1" allowOverlap="1" wp14:anchorId="2EB8C773" wp14:editId="01C85F59">
          <wp:simplePos x="0" y="0"/>
          <wp:positionH relativeFrom="column">
            <wp:posOffset>4442460</wp:posOffset>
          </wp:positionH>
          <wp:positionV relativeFrom="paragraph">
            <wp:posOffset>114300</wp:posOffset>
          </wp:positionV>
          <wp:extent cx="791845" cy="334645"/>
          <wp:effectExtent l="0" t="0" r="8255" b="8255"/>
          <wp:wrapNone/>
          <wp:docPr id="80"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5B" w:rsidRDefault="00FF0D5B" w:rsidP="00A14E18">
      <w:pPr>
        <w:spacing w:after="0" w:line="240" w:lineRule="auto"/>
      </w:pPr>
      <w:r>
        <w:separator/>
      </w:r>
    </w:p>
  </w:footnote>
  <w:footnote w:type="continuationSeparator" w:id="0">
    <w:p w:rsidR="00FF0D5B" w:rsidRDefault="00FF0D5B" w:rsidP="00A14E18">
      <w:pPr>
        <w:spacing w:after="0" w:line="240" w:lineRule="auto"/>
      </w:pPr>
      <w:r>
        <w:continuationSeparator/>
      </w:r>
    </w:p>
  </w:footnote>
  <w:footnote w:type="continuationNotice" w:id="1">
    <w:p w:rsidR="00FF0D5B" w:rsidRDefault="00FF0D5B">
      <w:pPr>
        <w:spacing w:after="0" w:line="240" w:lineRule="auto"/>
      </w:pPr>
    </w:p>
  </w:footnote>
  <w:footnote w:id="2">
    <w:p w:rsidR="009B7A12" w:rsidRDefault="009B7A12" w:rsidP="00EB0EE3">
      <w:pPr>
        <w:pStyle w:val="FootnoteText"/>
        <w:jc w:val="both"/>
        <w:rPr>
          <w:sz w:val="18"/>
          <w:szCs w:val="18"/>
          <w:lang w:val="el-GR"/>
        </w:rPr>
      </w:pPr>
      <w:r w:rsidRPr="009B58A4">
        <w:rPr>
          <w:rStyle w:val="FootnoteReference"/>
          <w:sz w:val="18"/>
          <w:szCs w:val="18"/>
        </w:rPr>
        <w:footnoteRef/>
      </w:r>
      <w:r w:rsidRPr="00132B31">
        <w:rPr>
          <w:sz w:val="18"/>
          <w:szCs w:val="18"/>
          <w:lang w:val="el-GR"/>
        </w:rPr>
        <w:t xml:space="preserve"> </w:t>
      </w:r>
      <w:r w:rsidRPr="0060371D">
        <w:rPr>
          <w:sz w:val="18"/>
          <w:szCs w:val="18"/>
          <w:lang w:val="el-GR"/>
        </w:rPr>
        <w:t xml:space="preserve">Στον παρακάτω σύνδεσμο παρατίθεται ειδική ενότητα της Ελληνικής Ένωσης Τραπεζών για την ενημέρωση όλων των ενδιαφερόμενων μερών (καταναλωτών, επιχειρήσεων κτλ.). </w:t>
      </w:r>
    </w:p>
    <w:p w:rsidR="009B7A12" w:rsidRPr="0060371D" w:rsidRDefault="00FB0D59" w:rsidP="00EB0EE3">
      <w:pPr>
        <w:pStyle w:val="FootnoteText"/>
        <w:jc w:val="both"/>
        <w:rPr>
          <w:sz w:val="18"/>
          <w:szCs w:val="18"/>
          <w:lang w:val="el-GR"/>
        </w:rPr>
      </w:pPr>
      <w:hyperlink r:id="rId1" w:history="1">
        <w:r w:rsidR="009B7A12" w:rsidRPr="0060371D">
          <w:rPr>
            <w:rStyle w:val="Hyperlink"/>
            <w:sz w:val="18"/>
            <w:szCs w:val="18"/>
          </w:rPr>
          <w:t>https</w:t>
        </w:r>
        <w:r w:rsidR="009B7A12" w:rsidRPr="0060371D">
          <w:rPr>
            <w:rStyle w:val="Hyperlink"/>
            <w:sz w:val="18"/>
            <w:szCs w:val="18"/>
            <w:lang w:val="el-GR"/>
          </w:rPr>
          <w:t>://</w:t>
        </w:r>
        <w:r w:rsidR="009B7A12" w:rsidRPr="0060371D">
          <w:rPr>
            <w:rStyle w:val="Hyperlink"/>
            <w:sz w:val="18"/>
            <w:szCs w:val="18"/>
          </w:rPr>
          <w:t>www</w:t>
        </w:r>
        <w:r w:rsidR="009B7A12" w:rsidRPr="0060371D">
          <w:rPr>
            <w:rStyle w:val="Hyperlink"/>
            <w:sz w:val="18"/>
            <w:szCs w:val="18"/>
            <w:lang w:val="el-GR"/>
          </w:rPr>
          <w:t>.</w:t>
        </w:r>
        <w:proofErr w:type="spellStart"/>
        <w:r w:rsidR="009B7A12" w:rsidRPr="0060371D">
          <w:rPr>
            <w:rStyle w:val="Hyperlink"/>
            <w:sz w:val="18"/>
            <w:szCs w:val="18"/>
          </w:rPr>
          <w:t>hba</w:t>
        </w:r>
        <w:proofErr w:type="spellEnd"/>
        <w:r w:rsidR="009B7A12" w:rsidRPr="0060371D">
          <w:rPr>
            <w:rStyle w:val="Hyperlink"/>
            <w:sz w:val="18"/>
            <w:szCs w:val="18"/>
            <w:lang w:val="el-GR"/>
          </w:rPr>
          <w:t>.</w:t>
        </w:r>
        <w:r w:rsidR="009B7A12" w:rsidRPr="0060371D">
          <w:rPr>
            <w:rStyle w:val="Hyperlink"/>
            <w:sz w:val="18"/>
            <w:szCs w:val="18"/>
          </w:rPr>
          <w:t>gr</w:t>
        </w:r>
        <w:r w:rsidR="009B7A12" w:rsidRPr="0060371D">
          <w:rPr>
            <w:rStyle w:val="Hyperlink"/>
            <w:sz w:val="18"/>
            <w:szCs w:val="18"/>
            <w:lang w:val="el-GR"/>
          </w:rPr>
          <w:t>/</w:t>
        </w:r>
        <w:r w:rsidR="009B7A12" w:rsidRPr="0060371D">
          <w:rPr>
            <w:rStyle w:val="Hyperlink"/>
            <w:sz w:val="18"/>
            <w:szCs w:val="18"/>
          </w:rPr>
          <w:t>info</w:t>
        </w:r>
        <w:r w:rsidR="009B7A12" w:rsidRPr="0060371D">
          <w:rPr>
            <w:rStyle w:val="Hyperlink"/>
            <w:sz w:val="18"/>
            <w:szCs w:val="18"/>
            <w:lang w:val="el-GR"/>
          </w:rPr>
          <w:t>/</w:t>
        </w:r>
        <w:proofErr w:type="spellStart"/>
        <w:r w:rsidR="009B7A12" w:rsidRPr="0060371D">
          <w:rPr>
            <w:rStyle w:val="Hyperlink"/>
            <w:sz w:val="18"/>
            <w:szCs w:val="18"/>
          </w:rPr>
          <w:t>Covid</w:t>
        </w:r>
        <w:proofErr w:type="spellEnd"/>
        <w:r w:rsidR="009B7A12" w:rsidRPr="0060371D">
          <w:rPr>
            <w:rStyle w:val="Hyperlink"/>
            <w:sz w:val="18"/>
            <w:szCs w:val="18"/>
            <w:lang w:val="el-GR"/>
          </w:rPr>
          <w:t>19</w:t>
        </w:r>
      </w:hyperlink>
    </w:p>
    <w:p w:rsidR="009B7A12" w:rsidRPr="00132B31" w:rsidRDefault="009B7A12" w:rsidP="00FA1352">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12" w:rsidRPr="00910B3C" w:rsidRDefault="009B7A12" w:rsidP="00B23C31">
    <w:pPr>
      <w:pStyle w:val="Header"/>
      <w:ind w:right="-285"/>
      <w:rPr>
        <w:b/>
        <w:lang w:val="en-US"/>
      </w:rPr>
    </w:pPr>
    <w:r w:rsidRPr="00FF79F3">
      <w:rPr>
        <w:noProof/>
        <w:lang w:val="en-GB" w:eastAsia="en-GB"/>
      </w:rPr>
      <mc:AlternateContent>
        <mc:Choice Requires="wpg">
          <w:drawing>
            <wp:anchor distT="0" distB="0" distL="114300" distR="114300" simplePos="0" relativeHeight="251723776" behindDoc="1" locked="0" layoutInCell="1" allowOverlap="1" wp14:anchorId="72A01A2B" wp14:editId="0318CB7A">
              <wp:simplePos x="0" y="0"/>
              <wp:positionH relativeFrom="column">
                <wp:posOffset>3989705</wp:posOffset>
              </wp:positionH>
              <wp:positionV relativeFrom="paragraph">
                <wp:posOffset>-96520</wp:posOffset>
              </wp:positionV>
              <wp:extent cx="1103620" cy="1003935"/>
              <wp:effectExtent l="0" t="0" r="0" b="5715"/>
              <wp:wrapTight wrapText="bothSides">
                <wp:wrapPolygon edited="0">
                  <wp:start x="0" y="0"/>
                  <wp:lineTo x="0" y="21313"/>
                  <wp:lineTo x="20891" y="21313"/>
                  <wp:lineTo x="20891"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1103620" cy="1003935"/>
                        <a:chOff x="-40452" y="0"/>
                        <a:chExt cx="1107925" cy="1003935"/>
                      </a:xfrm>
                    </wpg:grpSpPr>
                    <pic:pic xmlns:pic="http://schemas.openxmlformats.org/drawingml/2006/picture">
                      <pic:nvPicPr>
                        <pic:cNvPr id="26" name="Picture 5" descr="tetragon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1003935"/>
                        </a:xfrm>
                        <a:prstGeom prst="rect">
                          <a:avLst/>
                        </a:prstGeom>
                      </pic:spPr>
                    </pic:pic>
                    <wps:wsp>
                      <wps:cNvPr id="27" name="Τίτλος 9"/>
                      <wps:cNvSpPr txBox="1">
                        <a:spLocks/>
                      </wps:cNvSpPr>
                      <wps:spPr>
                        <a:xfrm>
                          <a:off x="-40452" y="298450"/>
                          <a:ext cx="1107925" cy="454654"/>
                        </a:xfrm>
                        <a:prstGeom prst="rect">
                          <a:avLst/>
                        </a:prstGeom>
                      </wps:spPr>
                      <wps:txbx>
                        <w:txbxContent>
                          <w:p w:rsidR="009B7A12" w:rsidRDefault="009B7A12" w:rsidP="00FF79F3">
                            <w:pPr>
                              <w:spacing w:after="0" w:line="200" w:lineRule="exact"/>
                              <w:jc w:val="center"/>
                              <w:rPr>
                                <w:rFonts w:hAnsi="Calibri"/>
                                <w:b/>
                                <w:bCs/>
                                <w:color w:val="FFFFFF" w:themeColor="background1"/>
                                <w:kern w:val="24"/>
                                <w:sz w:val="21"/>
                                <w:szCs w:val="21"/>
                              </w:rPr>
                            </w:pPr>
                            <w:r>
                              <w:rPr>
                                <w:rFonts w:hAnsi="Calibri"/>
                                <w:b/>
                                <w:bCs/>
                                <w:color w:val="FFFFFF" w:themeColor="background1"/>
                                <w:kern w:val="24"/>
                                <w:sz w:val="21"/>
                                <w:szCs w:val="21"/>
                              </w:rPr>
                              <w:t>ΑΠΟΤΕΛΕΣΜΑΤΑ</w:t>
                            </w:r>
                          </w:p>
                          <w:p w:rsidR="009B7A12" w:rsidRDefault="009B7A12" w:rsidP="00FF79F3">
                            <w:pPr>
                              <w:spacing w:after="0" w:line="200" w:lineRule="exact"/>
                              <w:jc w:val="center"/>
                            </w:pPr>
                            <w:r>
                              <w:rPr>
                                <w:rFonts w:hAnsi="Calibri"/>
                                <w:b/>
                                <w:bCs/>
                                <w:color w:val="FFFFFF" w:themeColor="background1"/>
                                <w:kern w:val="24"/>
                                <w:sz w:val="21"/>
                                <w:szCs w:val="21"/>
                              </w:rPr>
                              <w:t>1</w:t>
                            </w:r>
                            <w:r w:rsidRPr="00FF79F3">
                              <w:rPr>
                                <w:rFonts w:ascii="Calibri" w:hAnsi="Calibri"/>
                                <w:b/>
                                <w:bCs/>
                                <w:color w:val="FFFFFF" w:themeColor="background1"/>
                                <w:kern w:val="24"/>
                                <w:sz w:val="21"/>
                                <w:szCs w:val="21"/>
                                <w:vertAlign w:val="superscript"/>
                              </w:rPr>
                              <w:t>ου</w:t>
                            </w:r>
                            <w:r>
                              <w:rPr>
                                <w:rFonts w:hAnsi="Calibri"/>
                                <w:b/>
                                <w:bCs/>
                                <w:color w:val="FFFFFF" w:themeColor="background1"/>
                                <w:kern w:val="24"/>
                                <w:sz w:val="21"/>
                                <w:szCs w:val="21"/>
                              </w:rPr>
                              <w:t xml:space="preserve"> 3ΜΗΝΟΥ 2020</w:t>
                            </w:r>
                          </w:p>
                        </w:txbxContent>
                      </wps:txbx>
                      <wps:bodyPr vert="horz" wrap="square" lIns="73655" tIns="36827" rIns="73655" bIns="36827"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72A01A2B" id="Group 25" o:spid="_x0000_s1035" style="position:absolute;margin-left:314.15pt;margin-top:-7.6pt;width:86.9pt;height:79.05pt;z-index:-251592704;mso-width-relative:margin;mso-height-relative:margin" coordorigin="-404" coordsize="11079,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">
                <v:imagedata r:id="rId2" o:title="tetragono"/>
                <v:path arrowok="t"/>
              </v:shape>
              <v:shapetype id="_x0000_t202" coordsize="21600,21600" o:spt="202" path="m,l,21600r21600,l21600,xe">
                <v:stroke joinstyle="miter"/>
                <v:path gradientshapeok="t" o:connecttype="rect"/>
              </v:shapetype>
              <v:shape id="Τίτλος 9" o:spid="_x0000_s1037" type="#_x0000_t202" style="position:absolute;left:-404;top:2984;width:11078;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" filled="f" stroked="f">
                <v:path arrowok="t"/>
                <v:textbox style="mso-fit-shape-to-text:t" inset="2.04597mm,1.023mm,2.04597mm,1.023mm">
                  <w:txbxContent>
                    <w:p w:rsidR="009B7A12" w:rsidRDefault="009B7A12" w:rsidP="00FF79F3">
                      <w:pPr>
                        <w:spacing w:after="0" w:line="200" w:lineRule="exact"/>
                        <w:jc w:val="center"/>
                        <w:rPr>
                          <w:rFonts w:hAnsi="Calibri"/>
                          <w:b/>
                          <w:bCs/>
                          <w:color w:val="FFFFFF" w:themeColor="background1"/>
                          <w:kern w:val="24"/>
                          <w:sz w:val="21"/>
                          <w:szCs w:val="21"/>
                        </w:rPr>
                      </w:pPr>
                      <w:r>
                        <w:rPr>
                          <w:rFonts w:hAnsi="Calibri"/>
                          <w:b/>
                          <w:bCs/>
                          <w:color w:val="FFFFFF" w:themeColor="background1"/>
                          <w:kern w:val="24"/>
                          <w:sz w:val="21"/>
                          <w:szCs w:val="21"/>
                        </w:rPr>
                        <w:t>ΑΠΟΤΕΛΕΣΜΑΤΑ</w:t>
                      </w:r>
                    </w:p>
                    <w:p w:rsidR="009B7A12" w:rsidRDefault="009B7A12" w:rsidP="00FF79F3">
                      <w:pPr>
                        <w:spacing w:after="0" w:line="200" w:lineRule="exact"/>
                        <w:jc w:val="center"/>
                      </w:pPr>
                      <w:r>
                        <w:rPr>
                          <w:rFonts w:hAnsi="Calibri"/>
                          <w:b/>
                          <w:bCs/>
                          <w:color w:val="FFFFFF" w:themeColor="background1"/>
                          <w:kern w:val="24"/>
                          <w:sz w:val="21"/>
                          <w:szCs w:val="21"/>
                        </w:rPr>
                        <w:t>1</w:t>
                      </w:r>
                      <w:r w:rsidRPr="00FF79F3">
                        <w:rPr>
                          <w:rFonts w:ascii="Calibri" w:hAnsi="Calibri"/>
                          <w:b/>
                          <w:bCs/>
                          <w:color w:val="FFFFFF" w:themeColor="background1"/>
                          <w:kern w:val="24"/>
                          <w:sz w:val="21"/>
                          <w:szCs w:val="21"/>
                          <w:vertAlign w:val="superscript"/>
                        </w:rPr>
                        <w:t>ου</w:t>
                      </w:r>
                      <w:r>
                        <w:rPr>
                          <w:rFonts w:hAnsi="Calibri"/>
                          <w:b/>
                          <w:bCs/>
                          <w:color w:val="FFFFFF" w:themeColor="background1"/>
                          <w:kern w:val="24"/>
                          <w:sz w:val="21"/>
                          <w:szCs w:val="21"/>
                        </w:rPr>
                        <w:t xml:space="preserve"> 3ΜΗΝΟΥ 2020</w:t>
                      </w:r>
                    </w:p>
                  </w:txbxContent>
                </v:textbox>
              </v:shape>
              <w10:wrap type="tight"/>
            </v:group>
          </w:pict>
        </mc:Fallback>
      </mc:AlternateContent>
    </w:r>
    <w:r w:rsidRPr="00FF79F3">
      <w:rPr>
        <w:noProof/>
        <w:lang w:val="en-GB" w:eastAsia="en-GB"/>
      </w:rPr>
      <w:drawing>
        <wp:anchor distT="0" distB="0" distL="114300" distR="114300" simplePos="0" relativeHeight="251724800" behindDoc="0" locked="0" layoutInCell="1" allowOverlap="1" wp14:anchorId="71D746BC" wp14:editId="6AC186DE">
          <wp:simplePos x="0" y="0"/>
          <wp:positionH relativeFrom="column">
            <wp:posOffset>-1623943</wp:posOffset>
          </wp:positionH>
          <wp:positionV relativeFrom="paragraph">
            <wp:posOffset>73025</wp:posOffset>
          </wp:positionV>
          <wp:extent cx="2005200" cy="60840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ONTAL-GR.jpg"/>
                  <pic:cNvPicPr/>
                </pic:nvPicPr>
                <pic:blipFill>
                  <a:blip r:embed="rId3">
                    <a:extLst>
                      <a:ext uri="{28A0092B-C50C-407E-A947-70E740481C1C}">
                        <a14:useLocalDpi xmlns:a14="http://schemas.microsoft.com/office/drawing/2010/main" val="0"/>
                      </a:ext>
                    </a:extLst>
                  </a:blip>
                  <a:stretch>
                    <a:fillRect/>
                  </a:stretch>
                </pic:blipFill>
                <pic:spPr>
                  <a:xfrm>
                    <a:off x="0" y="0"/>
                    <a:ext cx="2005200" cy="608400"/>
                  </a:xfrm>
                  <a:prstGeom prst="rect">
                    <a:avLst/>
                  </a:prstGeom>
                </pic:spPr>
              </pic:pic>
            </a:graphicData>
          </a:graphic>
        </wp:anchor>
      </w:drawing>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12" w:rsidRPr="00910B3C" w:rsidRDefault="009B7A12" w:rsidP="00910B3C">
    <w:pPr>
      <w:pStyle w:val="Header"/>
      <w:tabs>
        <w:tab w:val="left" w:pos="1843"/>
      </w:tabs>
      <w:ind w:right="-427"/>
      <w:rPr>
        <w:b/>
        <w:i/>
        <w:color w:val="FF0000"/>
        <w:sz w:val="24"/>
        <w:szCs w:val="24"/>
        <w:highlight w:val="yellow"/>
        <w:u w:val="single"/>
        <w:lang w:val="en-US"/>
      </w:rPr>
    </w:pPr>
    <w:r>
      <w:rPr>
        <w:b/>
        <w:i/>
        <w:noProof/>
        <w:color w:val="FF0000"/>
        <w:sz w:val="24"/>
        <w:szCs w:val="24"/>
        <w:u w:val="single"/>
        <w:lang w:val="en-GB" w:eastAsia="en-GB"/>
      </w:rPr>
      <mc:AlternateContent>
        <mc:Choice Requires="wpg">
          <w:drawing>
            <wp:anchor distT="0" distB="0" distL="114300" distR="114300" simplePos="0" relativeHeight="251717632" behindDoc="1" locked="0" layoutInCell="1" allowOverlap="1" wp14:anchorId="60FFA2A3" wp14:editId="4A0F43D2">
              <wp:simplePos x="0" y="0"/>
              <wp:positionH relativeFrom="column">
                <wp:posOffset>4001135</wp:posOffset>
              </wp:positionH>
              <wp:positionV relativeFrom="paragraph">
                <wp:posOffset>-320675</wp:posOffset>
              </wp:positionV>
              <wp:extent cx="1104890" cy="1003935"/>
              <wp:effectExtent l="0" t="0" r="0" b="5715"/>
              <wp:wrapTight wrapText="bothSides">
                <wp:wrapPolygon edited="0">
                  <wp:start x="0" y="0"/>
                  <wp:lineTo x="0" y="21313"/>
                  <wp:lineTo x="20867" y="21313"/>
                  <wp:lineTo x="20867"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104890" cy="1003935"/>
                        <a:chOff x="-40452" y="0"/>
                        <a:chExt cx="1108572" cy="1003935"/>
                      </a:xfrm>
                    </wpg:grpSpPr>
                    <pic:pic xmlns:pic="http://schemas.openxmlformats.org/drawingml/2006/picture">
                      <pic:nvPicPr>
                        <pic:cNvPr id="18" name="Picture 5" descr="tetragon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1003935"/>
                        </a:xfrm>
                        <a:prstGeom prst="rect">
                          <a:avLst/>
                        </a:prstGeom>
                      </pic:spPr>
                    </pic:pic>
                    <wps:wsp>
                      <wps:cNvPr id="19" name="Τίτλος 9"/>
                      <wps:cNvSpPr txBox="1">
                        <a:spLocks/>
                      </wps:cNvSpPr>
                      <wps:spPr>
                        <a:xfrm>
                          <a:off x="-40452" y="298450"/>
                          <a:ext cx="1108572" cy="454654"/>
                        </a:xfrm>
                        <a:prstGeom prst="rect">
                          <a:avLst/>
                        </a:prstGeom>
                      </wps:spPr>
                      <wps:txbx>
                        <w:txbxContent>
                          <w:p w:rsidR="009B7A12" w:rsidRDefault="009B7A12" w:rsidP="00FF79F3">
                            <w:pPr>
                              <w:pStyle w:val="NormalWeb"/>
                              <w:spacing w:before="0" w:beforeAutospacing="0" w:after="0" w:afterAutospacing="0" w:line="200" w:lineRule="exact"/>
                              <w:jc w:val="center"/>
                              <w:rPr>
                                <w:rFonts w:asciiTheme="minorHAnsi" w:hAnsi="Calibri" w:cstheme="minorBidi"/>
                                <w:b/>
                                <w:bCs/>
                                <w:color w:val="FFFFFF" w:themeColor="background1"/>
                                <w:kern w:val="24"/>
                                <w:sz w:val="21"/>
                                <w:szCs w:val="21"/>
                              </w:rPr>
                            </w:pPr>
                            <w:r>
                              <w:rPr>
                                <w:rFonts w:asciiTheme="minorHAnsi" w:hAnsi="Calibri" w:cstheme="minorBidi"/>
                                <w:b/>
                                <w:bCs/>
                                <w:color w:val="FFFFFF" w:themeColor="background1"/>
                                <w:kern w:val="24"/>
                                <w:sz w:val="21"/>
                                <w:szCs w:val="21"/>
                              </w:rPr>
                              <w:t>ΑΠΟΤΕΛΕΣΜΑΤΑ</w:t>
                            </w:r>
                          </w:p>
                          <w:p w:rsidR="009B7A12" w:rsidRDefault="009B7A12" w:rsidP="00FF79F3">
                            <w:pPr>
                              <w:pStyle w:val="NormalWeb"/>
                              <w:spacing w:before="0" w:beforeAutospacing="0" w:after="0" w:afterAutospacing="0" w:line="200" w:lineRule="exact"/>
                              <w:jc w:val="center"/>
                            </w:pPr>
                            <w:r>
                              <w:rPr>
                                <w:rFonts w:asciiTheme="minorHAnsi" w:hAnsi="Calibri" w:cstheme="minorBidi"/>
                                <w:b/>
                                <w:bCs/>
                                <w:color w:val="FFFFFF" w:themeColor="background1"/>
                                <w:kern w:val="24"/>
                                <w:sz w:val="21"/>
                                <w:szCs w:val="21"/>
                              </w:rPr>
                              <w:t>1</w:t>
                            </w:r>
                            <w:r w:rsidRPr="00FF79F3">
                              <w:rPr>
                                <w:rFonts w:ascii="Calibri" w:hAnsi="Calibri" w:cstheme="minorBidi"/>
                                <w:b/>
                                <w:bCs/>
                                <w:color w:val="FFFFFF" w:themeColor="background1"/>
                                <w:kern w:val="24"/>
                                <w:sz w:val="21"/>
                                <w:szCs w:val="21"/>
                                <w:vertAlign w:val="superscript"/>
                              </w:rPr>
                              <w:t>ου</w:t>
                            </w:r>
                            <w:r>
                              <w:rPr>
                                <w:rFonts w:asciiTheme="minorHAnsi" w:hAnsi="Calibri" w:cstheme="minorBidi"/>
                                <w:b/>
                                <w:bCs/>
                                <w:color w:val="FFFFFF" w:themeColor="background1"/>
                                <w:kern w:val="24"/>
                                <w:sz w:val="21"/>
                                <w:szCs w:val="21"/>
                              </w:rPr>
                              <w:t xml:space="preserve"> 3ΜΗΝΟΥ 2020</w:t>
                            </w:r>
                          </w:p>
                        </w:txbxContent>
                      </wps:txbx>
                      <wps:bodyPr vert="horz" wrap="square" lIns="73655" tIns="36827" rIns="73655" bIns="36827"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60FFA2A3" id="Group 4" o:spid="_x0000_s1041" style="position:absolute;margin-left:315.05pt;margin-top:-25.25pt;width:87pt;height:79.05pt;z-index:-251598848;mso-width-relative:margin;mso-height-relative:margin" coordorigin="-404" coordsize="11085,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2"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">
                <v:imagedata r:id="rId2" o:title="tetragono"/>
                <v:path arrowok="t"/>
              </v:shape>
              <v:shapetype id="_x0000_t202" coordsize="21600,21600" o:spt="202" path="m,l,21600r21600,l21600,xe">
                <v:stroke joinstyle="miter"/>
                <v:path gradientshapeok="t" o:connecttype="rect"/>
              </v:shapetype>
              <v:shape id="Τίτλος 9" o:spid="_x0000_s1043" type="#_x0000_t202" style="position:absolute;left:-404;top:2984;width:1108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" filled="f" stroked="f">
                <v:path arrowok="t"/>
                <v:textbox style="mso-fit-shape-to-text:t" inset="2.04597mm,1.023mm,2.04597mm,1.023mm">
                  <w:txbxContent>
                    <w:p w:rsidR="009B7A12" w:rsidRDefault="009B7A12" w:rsidP="00FF79F3">
                      <w:pPr>
                        <w:pStyle w:val="NormalWeb"/>
                        <w:spacing w:before="0" w:beforeAutospacing="0" w:after="0" w:afterAutospacing="0" w:line="200" w:lineRule="exact"/>
                        <w:jc w:val="center"/>
                        <w:rPr>
                          <w:rFonts w:asciiTheme="minorHAnsi" w:hAnsi="Calibri" w:cstheme="minorBidi"/>
                          <w:b/>
                          <w:bCs/>
                          <w:color w:val="FFFFFF" w:themeColor="background1"/>
                          <w:kern w:val="24"/>
                          <w:sz w:val="21"/>
                          <w:szCs w:val="21"/>
                        </w:rPr>
                      </w:pPr>
                      <w:r>
                        <w:rPr>
                          <w:rFonts w:asciiTheme="minorHAnsi" w:hAnsi="Calibri" w:cstheme="minorBidi"/>
                          <w:b/>
                          <w:bCs/>
                          <w:color w:val="FFFFFF" w:themeColor="background1"/>
                          <w:kern w:val="24"/>
                          <w:sz w:val="21"/>
                          <w:szCs w:val="21"/>
                        </w:rPr>
                        <w:t>ΑΠΟΤΕΛΕΣΜΑΤΑ</w:t>
                      </w:r>
                    </w:p>
                    <w:p w:rsidR="009B7A12" w:rsidRDefault="009B7A12" w:rsidP="00FF79F3">
                      <w:pPr>
                        <w:pStyle w:val="NormalWeb"/>
                        <w:spacing w:before="0" w:beforeAutospacing="0" w:after="0" w:afterAutospacing="0" w:line="200" w:lineRule="exact"/>
                        <w:jc w:val="center"/>
                      </w:pPr>
                      <w:r>
                        <w:rPr>
                          <w:rFonts w:asciiTheme="minorHAnsi" w:hAnsi="Calibri" w:cstheme="minorBidi"/>
                          <w:b/>
                          <w:bCs/>
                          <w:color w:val="FFFFFF" w:themeColor="background1"/>
                          <w:kern w:val="24"/>
                          <w:sz w:val="21"/>
                          <w:szCs w:val="21"/>
                        </w:rPr>
                        <w:t>1</w:t>
                      </w:r>
                      <w:r w:rsidRPr="00FF79F3">
                        <w:rPr>
                          <w:rFonts w:ascii="Calibri" w:hAnsi="Calibri" w:cstheme="minorBidi"/>
                          <w:b/>
                          <w:bCs/>
                          <w:color w:val="FFFFFF" w:themeColor="background1"/>
                          <w:kern w:val="24"/>
                          <w:sz w:val="21"/>
                          <w:szCs w:val="21"/>
                          <w:vertAlign w:val="superscript"/>
                        </w:rPr>
                        <w:t>ου</w:t>
                      </w:r>
                      <w:r>
                        <w:rPr>
                          <w:rFonts w:asciiTheme="minorHAnsi" w:hAnsi="Calibri" w:cstheme="minorBidi"/>
                          <w:b/>
                          <w:bCs/>
                          <w:color w:val="FFFFFF" w:themeColor="background1"/>
                          <w:kern w:val="24"/>
                          <w:sz w:val="21"/>
                          <w:szCs w:val="21"/>
                        </w:rPr>
                        <w:t xml:space="preserve"> 3ΜΗΝΟΥ 2020</w:t>
                      </w:r>
                    </w:p>
                  </w:txbxContent>
                </v:textbox>
              </v:shape>
              <w10:wrap type="tight"/>
            </v:group>
          </w:pict>
        </mc:Fallback>
      </mc:AlternateContent>
    </w:r>
    <w:r>
      <w:rPr>
        <w:b/>
        <w:i/>
        <w:noProof/>
        <w:color w:val="FF0000"/>
        <w:sz w:val="24"/>
        <w:szCs w:val="24"/>
        <w:u w:val="single"/>
        <w:lang w:val="en-GB" w:eastAsia="en-GB"/>
      </w:rPr>
      <w:drawing>
        <wp:anchor distT="0" distB="0" distL="114300" distR="114300" simplePos="0" relativeHeight="251721728" behindDoc="0" locked="0" layoutInCell="1" allowOverlap="1" wp14:anchorId="0262517B" wp14:editId="10DC8413">
          <wp:simplePos x="0" y="0"/>
          <wp:positionH relativeFrom="column">
            <wp:posOffset>-1614115</wp:posOffset>
          </wp:positionH>
          <wp:positionV relativeFrom="paragraph">
            <wp:posOffset>-151406</wp:posOffset>
          </wp:positionV>
          <wp:extent cx="2005200" cy="60840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ONTAL-GR.jpg"/>
                  <pic:cNvPicPr/>
                </pic:nvPicPr>
                <pic:blipFill>
                  <a:blip r:embed="rId3">
                    <a:extLst>
                      <a:ext uri="{28A0092B-C50C-407E-A947-70E740481C1C}">
                        <a14:useLocalDpi xmlns:a14="http://schemas.microsoft.com/office/drawing/2010/main" val="0"/>
                      </a:ext>
                    </a:extLst>
                  </a:blip>
                  <a:stretch>
                    <a:fillRect/>
                  </a:stretch>
                </pic:blipFill>
                <pic:spPr>
                  <a:xfrm>
                    <a:off x="0" y="0"/>
                    <a:ext cx="2005200" cy="608400"/>
                  </a:xfrm>
                  <a:prstGeom prst="rect">
                    <a:avLst/>
                  </a:prstGeom>
                </pic:spPr>
              </pic:pic>
            </a:graphicData>
          </a:graphic>
        </wp:anchor>
      </w:drawing>
    </w:r>
  </w:p>
  <w:p w:rsidR="009B7A12" w:rsidRDefault="009B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B0FE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2.8pt" o:bullet="t">
        <v:imagedata r:id="rId1" o:title="BulletTick"/>
      </v:shape>
    </w:pict>
  </w:numPicBullet>
  <w:numPicBullet w:numPicBulletId="1">
    <w:pict>
      <v:shape id="_x0000_i1027" type="#_x0000_t75" style="width:17.4pt;height:17.4pt;visibility:visible;mso-wrap-style:square" o:bullet="t">
        <v:imagedata r:id="rId2" o:title=""/>
      </v:shape>
    </w:pict>
  </w:numPicBullet>
  <w:numPicBullet w:numPicBulletId="2">
    <w:pict>
      <v:shape w14:anchorId="2CBB2ED6" id="_x0000_i1028" type="#_x0000_t75" style="width:21.6pt;height:15.6pt;visibility:visible;mso-wrap-style:square" o:bullet="t">
        <v:imagedata r:id="rId3" o:title=""/>
      </v:shape>
    </w:pict>
  </w:numPicBullet>
  <w:abstractNum w:abstractNumId="0" w15:restartNumberingAfterBreak="0">
    <w:nsid w:val="0BFD2BE2"/>
    <w:multiLevelType w:val="hybridMultilevel"/>
    <w:tmpl w:val="458EC884"/>
    <w:lvl w:ilvl="0" w:tplc="80384A9A">
      <w:start w:val="2"/>
      <w:numFmt w:val="bullet"/>
      <w:lvlText w:val=""/>
      <w:lvlJc w:val="left"/>
      <w:pPr>
        <w:ind w:left="720" w:hanging="360"/>
      </w:pPr>
      <w:rPr>
        <w:rFonts w:ascii="Wingdings" w:eastAsiaTheme="minorEastAsia"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6407D0"/>
    <w:multiLevelType w:val="hybridMultilevel"/>
    <w:tmpl w:val="103C4E28"/>
    <w:lvl w:ilvl="0" w:tplc="AAF885EA">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E858EA"/>
    <w:multiLevelType w:val="hybridMultilevel"/>
    <w:tmpl w:val="A8CE7D00"/>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769E"/>
    <w:multiLevelType w:val="hybridMultilevel"/>
    <w:tmpl w:val="709EFB7A"/>
    <w:lvl w:ilvl="0" w:tplc="30F0F338">
      <w:start w:val="1"/>
      <w:numFmt w:val="decimal"/>
      <w:lvlText w:val="%1."/>
      <w:lvlJc w:val="left"/>
      <w:pPr>
        <w:ind w:left="502" w:hanging="360"/>
      </w:pPr>
      <w:rPr>
        <w:b/>
        <w:color w:val="FFC0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26D1596D"/>
    <w:multiLevelType w:val="hybridMultilevel"/>
    <w:tmpl w:val="DA5E072A"/>
    <w:lvl w:ilvl="0" w:tplc="A3D48850">
      <w:numFmt w:val="bullet"/>
      <w:lvlText w:val="•"/>
      <w:lvlJc w:val="left"/>
      <w:pPr>
        <w:ind w:left="1080" w:hanging="720"/>
      </w:pPr>
      <w:rPr>
        <w:rFonts w:ascii="Calibri" w:eastAsiaTheme="minorHAnsi"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BF58A9"/>
    <w:multiLevelType w:val="hybridMultilevel"/>
    <w:tmpl w:val="4D44A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234FF1"/>
    <w:multiLevelType w:val="hybridMultilevel"/>
    <w:tmpl w:val="4D506F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37C54981"/>
    <w:multiLevelType w:val="hybridMultilevel"/>
    <w:tmpl w:val="1BEE0378"/>
    <w:lvl w:ilvl="0" w:tplc="8F10FF4E">
      <w:start w:val="1"/>
      <w:numFmt w:val="bullet"/>
      <w:lvlText w:val=""/>
      <w:lvlPicBulletId w:val="2"/>
      <w:lvlJc w:val="left"/>
      <w:pPr>
        <w:tabs>
          <w:tab w:val="num" w:pos="720"/>
        </w:tabs>
        <w:ind w:left="720" w:hanging="360"/>
      </w:pPr>
      <w:rPr>
        <w:rFonts w:ascii="Symbol" w:hAnsi="Symbol" w:hint="default"/>
      </w:rPr>
    </w:lvl>
    <w:lvl w:ilvl="1" w:tplc="131EDA48" w:tentative="1">
      <w:start w:val="1"/>
      <w:numFmt w:val="bullet"/>
      <w:lvlText w:val=""/>
      <w:lvlJc w:val="left"/>
      <w:pPr>
        <w:tabs>
          <w:tab w:val="num" w:pos="1440"/>
        </w:tabs>
        <w:ind w:left="1440" w:hanging="360"/>
      </w:pPr>
      <w:rPr>
        <w:rFonts w:ascii="Symbol" w:hAnsi="Symbol" w:hint="default"/>
      </w:rPr>
    </w:lvl>
    <w:lvl w:ilvl="2" w:tplc="885237D6" w:tentative="1">
      <w:start w:val="1"/>
      <w:numFmt w:val="bullet"/>
      <w:lvlText w:val=""/>
      <w:lvlJc w:val="left"/>
      <w:pPr>
        <w:tabs>
          <w:tab w:val="num" w:pos="2160"/>
        </w:tabs>
        <w:ind w:left="2160" w:hanging="360"/>
      </w:pPr>
      <w:rPr>
        <w:rFonts w:ascii="Symbol" w:hAnsi="Symbol" w:hint="default"/>
      </w:rPr>
    </w:lvl>
    <w:lvl w:ilvl="3" w:tplc="8602A346" w:tentative="1">
      <w:start w:val="1"/>
      <w:numFmt w:val="bullet"/>
      <w:lvlText w:val=""/>
      <w:lvlJc w:val="left"/>
      <w:pPr>
        <w:tabs>
          <w:tab w:val="num" w:pos="2880"/>
        </w:tabs>
        <w:ind w:left="2880" w:hanging="360"/>
      </w:pPr>
      <w:rPr>
        <w:rFonts w:ascii="Symbol" w:hAnsi="Symbol" w:hint="default"/>
      </w:rPr>
    </w:lvl>
    <w:lvl w:ilvl="4" w:tplc="267E0538" w:tentative="1">
      <w:start w:val="1"/>
      <w:numFmt w:val="bullet"/>
      <w:lvlText w:val=""/>
      <w:lvlJc w:val="left"/>
      <w:pPr>
        <w:tabs>
          <w:tab w:val="num" w:pos="3600"/>
        </w:tabs>
        <w:ind w:left="3600" w:hanging="360"/>
      </w:pPr>
      <w:rPr>
        <w:rFonts w:ascii="Symbol" w:hAnsi="Symbol" w:hint="default"/>
      </w:rPr>
    </w:lvl>
    <w:lvl w:ilvl="5" w:tplc="A668941A" w:tentative="1">
      <w:start w:val="1"/>
      <w:numFmt w:val="bullet"/>
      <w:lvlText w:val=""/>
      <w:lvlJc w:val="left"/>
      <w:pPr>
        <w:tabs>
          <w:tab w:val="num" w:pos="4320"/>
        </w:tabs>
        <w:ind w:left="4320" w:hanging="360"/>
      </w:pPr>
      <w:rPr>
        <w:rFonts w:ascii="Symbol" w:hAnsi="Symbol" w:hint="default"/>
      </w:rPr>
    </w:lvl>
    <w:lvl w:ilvl="6" w:tplc="4B16EC44" w:tentative="1">
      <w:start w:val="1"/>
      <w:numFmt w:val="bullet"/>
      <w:lvlText w:val=""/>
      <w:lvlJc w:val="left"/>
      <w:pPr>
        <w:tabs>
          <w:tab w:val="num" w:pos="5040"/>
        </w:tabs>
        <w:ind w:left="5040" w:hanging="360"/>
      </w:pPr>
      <w:rPr>
        <w:rFonts w:ascii="Symbol" w:hAnsi="Symbol" w:hint="default"/>
      </w:rPr>
    </w:lvl>
    <w:lvl w:ilvl="7" w:tplc="87C4F5F4" w:tentative="1">
      <w:start w:val="1"/>
      <w:numFmt w:val="bullet"/>
      <w:lvlText w:val=""/>
      <w:lvlJc w:val="left"/>
      <w:pPr>
        <w:tabs>
          <w:tab w:val="num" w:pos="5760"/>
        </w:tabs>
        <w:ind w:left="5760" w:hanging="360"/>
      </w:pPr>
      <w:rPr>
        <w:rFonts w:ascii="Symbol" w:hAnsi="Symbol" w:hint="default"/>
      </w:rPr>
    </w:lvl>
    <w:lvl w:ilvl="8" w:tplc="33103E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576187"/>
    <w:multiLevelType w:val="hybridMultilevel"/>
    <w:tmpl w:val="91A859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B4D3594"/>
    <w:multiLevelType w:val="hybridMultilevel"/>
    <w:tmpl w:val="C3EE1B5C"/>
    <w:lvl w:ilvl="0" w:tplc="4620A314">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40413A68"/>
    <w:multiLevelType w:val="hybridMultilevel"/>
    <w:tmpl w:val="C1EC35EA"/>
    <w:lvl w:ilvl="0" w:tplc="50285DF2">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24200F5"/>
    <w:multiLevelType w:val="hybridMultilevel"/>
    <w:tmpl w:val="8BA48B6E"/>
    <w:lvl w:ilvl="0" w:tplc="900EE7D4">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492C81"/>
    <w:multiLevelType w:val="hybridMultilevel"/>
    <w:tmpl w:val="190C240A"/>
    <w:lvl w:ilvl="0" w:tplc="FC1EBDCE">
      <w:start w:val="1"/>
      <w:numFmt w:val="bullet"/>
      <w:lvlText w:val=""/>
      <w:lvlJc w:val="left"/>
      <w:pPr>
        <w:ind w:left="578" w:hanging="360"/>
      </w:pPr>
      <w:rPr>
        <w:rFonts w:ascii="Symbol" w:hAnsi="Symbol" w:hint="default"/>
        <w:color w:val="auto"/>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574D7F48"/>
    <w:multiLevelType w:val="hybridMultilevel"/>
    <w:tmpl w:val="018A46B0"/>
    <w:lvl w:ilvl="0" w:tplc="29DC3F90">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A0C45"/>
    <w:multiLevelType w:val="hybridMultilevel"/>
    <w:tmpl w:val="FEACAAB6"/>
    <w:lvl w:ilvl="0" w:tplc="7B42F334">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C10099"/>
    <w:multiLevelType w:val="hybridMultilevel"/>
    <w:tmpl w:val="33A6B04A"/>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505C1"/>
    <w:multiLevelType w:val="hybridMultilevel"/>
    <w:tmpl w:val="C33C8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92046E"/>
    <w:multiLevelType w:val="hybridMultilevel"/>
    <w:tmpl w:val="1B04D692"/>
    <w:lvl w:ilvl="0" w:tplc="50E01FD0">
      <w:start w:val="1"/>
      <w:numFmt w:val="decimal"/>
      <w:lvlText w:val="(%1)"/>
      <w:lvlJc w:val="left"/>
      <w:pPr>
        <w:ind w:left="360" w:hanging="360"/>
      </w:pPr>
      <w:rPr>
        <w:rFonts w:asciiTheme="minorHAnsi" w:eastAsiaTheme="minorHAnsi" w:hAnsiTheme="minorHAnsi" w:cstheme="majorHAnsi"/>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E032BE8"/>
    <w:multiLevelType w:val="hybridMultilevel"/>
    <w:tmpl w:val="5FB885AC"/>
    <w:lvl w:ilvl="0" w:tplc="6C3E16C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9F7C09"/>
    <w:multiLevelType w:val="hybridMultilevel"/>
    <w:tmpl w:val="7338B3F2"/>
    <w:lvl w:ilvl="0" w:tplc="465A8084">
      <w:start w:val="1"/>
      <w:numFmt w:val="bullet"/>
      <w:lvlText w:val=""/>
      <w:lvlJc w:val="left"/>
      <w:pPr>
        <w:ind w:left="720" w:hanging="360"/>
      </w:pPr>
      <w:rPr>
        <w:rFonts w:ascii="Symbol" w:hAnsi="Symbol" w:hint="default"/>
        <w:color w:val="3A73A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75BAB"/>
    <w:multiLevelType w:val="hybridMultilevel"/>
    <w:tmpl w:val="D0EEB1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DA5056F"/>
    <w:multiLevelType w:val="hybridMultilevel"/>
    <w:tmpl w:val="3106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F7E61CD"/>
    <w:multiLevelType w:val="hybridMultilevel"/>
    <w:tmpl w:val="67CC7CE8"/>
    <w:lvl w:ilvl="0" w:tplc="1108CC74">
      <w:start w:val="1"/>
      <w:numFmt w:val="bullet"/>
      <w:lvlText w:val=""/>
      <w:lvlJc w:val="left"/>
      <w:pPr>
        <w:ind w:left="720" w:hanging="360"/>
      </w:pPr>
      <w:rPr>
        <w:rFonts w:ascii="Symbol" w:hAnsi="Symbol" w:hint="default"/>
        <w:color w:val="003C96"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2"/>
  </w:num>
  <w:num w:numId="5">
    <w:abstractNumId w:val="14"/>
  </w:num>
  <w:num w:numId="6">
    <w:abstractNumId w:val="18"/>
  </w:num>
  <w:num w:numId="7">
    <w:abstractNumId w:val="4"/>
  </w:num>
  <w:num w:numId="8">
    <w:abstractNumId w:val="22"/>
  </w:num>
  <w:num w:numId="9">
    <w:abstractNumId w:val="17"/>
  </w:num>
  <w:num w:numId="10">
    <w:abstractNumId w:val="20"/>
  </w:num>
  <w:num w:numId="11">
    <w:abstractNumId w:val="19"/>
  </w:num>
  <w:num w:numId="12">
    <w:abstractNumId w:val="7"/>
  </w:num>
  <w:num w:numId="13">
    <w:abstractNumId w:val="19"/>
  </w:num>
  <w:num w:numId="14">
    <w:abstractNumId w:val="6"/>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3"/>
  </w:num>
  <w:num w:numId="21">
    <w:abstractNumId w:val="0"/>
  </w:num>
  <w:num w:numId="22">
    <w:abstractNumId w:val="5"/>
  </w:num>
  <w:num w:numId="23">
    <w:abstractNumId w:val="1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8"/>
    <w:rsid w:val="000007A3"/>
    <w:rsid w:val="0000082A"/>
    <w:rsid w:val="00000BC6"/>
    <w:rsid w:val="00000F68"/>
    <w:rsid w:val="00001E6E"/>
    <w:rsid w:val="00002FDD"/>
    <w:rsid w:val="0000346D"/>
    <w:rsid w:val="00003672"/>
    <w:rsid w:val="00003855"/>
    <w:rsid w:val="00003A09"/>
    <w:rsid w:val="00003FFC"/>
    <w:rsid w:val="0000442A"/>
    <w:rsid w:val="0000443E"/>
    <w:rsid w:val="00004ACD"/>
    <w:rsid w:val="00005BE9"/>
    <w:rsid w:val="00005CA5"/>
    <w:rsid w:val="00005CB6"/>
    <w:rsid w:val="00005E5E"/>
    <w:rsid w:val="00006029"/>
    <w:rsid w:val="000062A0"/>
    <w:rsid w:val="000063E4"/>
    <w:rsid w:val="000077D1"/>
    <w:rsid w:val="00007A6A"/>
    <w:rsid w:val="00007CBC"/>
    <w:rsid w:val="00010393"/>
    <w:rsid w:val="00010908"/>
    <w:rsid w:val="00010B68"/>
    <w:rsid w:val="00011CB8"/>
    <w:rsid w:val="00012B7F"/>
    <w:rsid w:val="00012EA5"/>
    <w:rsid w:val="00013564"/>
    <w:rsid w:val="0001359E"/>
    <w:rsid w:val="0001438C"/>
    <w:rsid w:val="00015386"/>
    <w:rsid w:val="00015854"/>
    <w:rsid w:val="00015FAE"/>
    <w:rsid w:val="00016980"/>
    <w:rsid w:val="000178E4"/>
    <w:rsid w:val="00020371"/>
    <w:rsid w:val="0002067A"/>
    <w:rsid w:val="00020A2A"/>
    <w:rsid w:val="0002147D"/>
    <w:rsid w:val="00021A4E"/>
    <w:rsid w:val="00021BD0"/>
    <w:rsid w:val="00022A88"/>
    <w:rsid w:val="00022CCE"/>
    <w:rsid w:val="00023546"/>
    <w:rsid w:val="000238A4"/>
    <w:rsid w:val="00025755"/>
    <w:rsid w:val="00025D14"/>
    <w:rsid w:val="000260AC"/>
    <w:rsid w:val="000263FE"/>
    <w:rsid w:val="0002706C"/>
    <w:rsid w:val="00027255"/>
    <w:rsid w:val="00027BA6"/>
    <w:rsid w:val="00030364"/>
    <w:rsid w:val="00030D02"/>
    <w:rsid w:val="000310AD"/>
    <w:rsid w:val="00031657"/>
    <w:rsid w:val="00031F12"/>
    <w:rsid w:val="00032B67"/>
    <w:rsid w:val="00033976"/>
    <w:rsid w:val="00034112"/>
    <w:rsid w:val="00034117"/>
    <w:rsid w:val="00034737"/>
    <w:rsid w:val="00034F63"/>
    <w:rsid w:val="00034F7D"/>
    <w:rsid w:val="00035782"/>
    <w:rsid w:val="00035CFC"/>
    <w:rsid w:val="000361FC"/>
    <w:rsid w:val="00036CAB"/>
    <w:rsid w:val="00036DFB"/>
    <w:rsid w:val="00037365"/>
    <w:rsid w:val="00037376"/>
    <w:rsid w:val="00037ABB"/>
    <w:rsid w:val="00037C92"/>
    <w:rsid w:val="00037E16"/>
    <w:rsid w:val="00040A98"/>
    <w:rsid w:val="00040F71"/>
    <w:rsid w:val="00042251"/>
    <w:rsid w:val="0004347B"/>
    <w:rsid w:val="000435B4"/>
    <w:rsid w:val="00043933"/>
    <w:rsid w:val="000439BB"/>
    <w:rsid w:val="0004427A"/>
    <w:rsid w:val="0004461D"/>
    <w:rsid w:val="00044B60"/>
    <w:rsid w:val="0004528A"/>
    <w:rsid w:val="00045C2B"/>
    <w:rsid w:val="00045F04"/>
    <w:rsid w:val="00046277"/>
    <w:rsid w:val="000470B3"/>
    <w:rsid w:val="0004746D"/>
    <w:rsid w:val="00047535"/>
    <w:rsid w:val="00051587"/>
    <w:rsid w:val="00052957"/>
    <w:rsid w:val="0005319A"/>
    <w:rsid w:val="000532FB"/>
    <w:rsid w:val="00053E04"/>
    <w:rsid w:val="00053F76"/>
    <w:rsid w:val="000541AA"/>
    <w:rsid w:val="000547B5"/>
    <w:rsid w:val="00054A25"/>
    <w:rsid w:val="00054E9E"/>
    <w:rsid w:val="00055403"/>
    <w:rsid w:val="00056E3C"/>
    <w:rsid w:val="000571A8"/>
    <w:rsid w:val="0006028B"/>
    <w:rsid w:val="00061186"/>
    <w:rsid w:val="0006140B"/>
    <w:rsid w:val="000614F8"/>
    <w:rsid w:val="0006190D"/>
    <w:rsid w:val="00061B16"/>
    <w:rsid w:val="00061FE1"/>
    <w:rsid w:val="000620E3"/>
    <w:rsid w:val="00062C84"/>
    <w:rsid w:val="000634DB"/>
    <w:rsid w:val="000635FC"/>
    <w:rsid w:val="000638E1"/>
    <w:rsid w:val="000645D7"/>
    <w:rsid w:val="0006468F"/>
    <w:rsid w:val="00064E07"/>
    <w:rsid w:val="00065838"/>
    <w:rsid w:val="00065917"/>
    <w:rsid w:val="00066296"/>
    <w:rsid w:val="00066A63"/>
    <w:rsid w:val="00066F7F"/>
    <w:rsid w:val="00067250"/>
    <w:rsid w:val="00070028"/>
    <w:rsid w:val="00070112"/>
    <w:rsid w:val="000702FC"/>
    <w:rsid w:val="000703B6"/>
    <w:rsid w:val="0007076B"/>
    <w:rsid w:val="0007081D"/>
    <w:rsid w:val="000709DA"/>
    <w:rsid w:val="00070EAC"/>
    <w:rsid w:val="0007175D"/>
    <w:rsid w:val="00071F3F"/>
    <w:rsid w:val="00072780"/>
    <w:rsid w:val="00072FE2"/>
    <w:rsid w:val="000731A4"/>
    <w:rsid w:val="00073603"/>
    <w:rsid w:val="000736B0"/>
    <w:rsid w:val="0007418C"/>
    <w:rsid w:val="00075AC2"/>
    <w:rsid w:val="00075AD9"/>
    <w:rsid w:val="00075D3E"/>
    <w:rsid w:val="00077508"/>
    <w:rsid w:val="00077517"/>
    <w:rsid w:val="00077AE3"/>
    <w:rsid w:val="00080132"/>
    <w:rsid w:val="000803B4"/>
    <w:rsid w:val="000806D6"/>
    <w:rsid w:val="000806E0"/>
    <w:rsid w:val="00081584"/>
    <w:rsid w:val="000821CE"/>
    <w:rsid w:val="00083046"/>
    <w:rsid w:val="0008357D"/>
    <w:rsid w:val="000835D6"/>
    <w:rsid w:val="000837A3"/>
    <w:rsid w:val="00083DE1"/>
    <w:rsid w:val="000840A9"/>
    <w:rsid w:val="0008436B"/>
    <w:rsid w:val="000848BE"/>
    <w:rsid w:val="00084E6E"/>
    <w:rsid w:val="00085105"/>
    <w:rsid w:val="00085298"/>
    <w:rsid w:val="000863E3"/>
    <w:rsid w:val="000865AE"/>
    <w:rsid w:val="000865E1"/>
    <w:rsid w:val="00086694"/>
    <w:rsid w:val="00086EAD"/>
    <w:rsid w:val="00087B01"/>
    <w:rsid w:val="00090C5F"/>
    <w:rsid w:val="00090EFC"/>
    <w:rsid w:val="00092097"/>
    <w:rsid w:val="000926A9"/>
    <w:rsid w:val="00093CCF"/>
    <w:rsid w:val="00093E7E"/>
    <w:rsid w:val="00094182"/>
    <w:rsid w:val="00094323"/>
    <w:rsid w:val="00094746"/>
    <w:rsid w:val="00094C99"/>
    <w:rsid w:val="000965B3"/>
    <w:rsid w:val="0009699F"/>
    <w:rsid w:val="00096DBA"/>
    <w:rsid w:val="00096FF2"/>
    <w:rsid w:val="00097435"/>
    <w:rsid w:val="000979EF"/>
    <w:rsid w:val="00097B3E"/>
    <w:rsid w:val="00097BD8"/>
    <w:rsid w:val="00097C2B"/>
    <w:rsid w:val="000A0737"/>
    <w:rsid w:val="000A0FDC"/>
    <w:rsid w:val="000A26D2"/>
    <w:rsid w:val="000A2CA1"/>
    <w:rsid w:val="000A2E3D"/>
    <w:rsid w:val="000A2EC5"/>
    <w:rsid w:val="000A3A7F"/>
    <w:rsid w:val="000A3BD2"/>
    <w:rsid w:val="000A4C0E"/>
    <w:rsid w:val="000A5338"/>
    <w:rsid w:val="000A5649"/>
    <w:rsid w:val="000A5745"/>
    <w:rsid w:val="000A5780"/>
    <w:rsid w:val="000A5953"/>
    <w:rsid w:val="000A6299"/>
    <w:rsid w:val="000A66CC"/>
    <w:rsid w:val="000A682D"/>
    <w:rsid w:val="000A6ABC"/>
    <w:rsid w:val="000B04E3"/>
    <w:rsid w:val="000B11E4"/>
    <w:rsid w:val="000B1781"/>
    <w:rsid w:val="000B1D47"/>
    <w:rsid w:val="000B2311"/>
    <w:rsid w:val="000B23AE"/>
    <w:rsid w:val="000B4FFB"/>
    <w:rsid w:val="000B5DF0"/>
    <w:rsid w:val="000B69AF"/>
    <w:rsid w:val="000B6B48"/>
    <w:rsid w:val="000B7117"/>
    <w:rsid w:val="000B7357"/>
    <w:rsid w:val="000B768D"/>
    <w:rsid w:val="000B7944"/>
    <w:rsid w:val="000B7A2A"/>
    <w:rsid w:val="000C17D2"/>
    <w:rsid w:val="000C186C"/>
    <w:rsid w:val="000C189C"/>
    <w:rsid w:val="000C2E3C"/>
    <w:rsid w:val="000C3119"/>
    <w:rsid w:val="000C3DEB"/>
    <w:rsid w:val="000C5F7B"/>
    <w:rsid w:val="000C620B"/>
    <w:rsid w:val="000C63E4"/>
    <w:rsid w:val="000C6468"/>
    <w:rsid w:val="000C66AE"/>
    <w:rsid w:val="000C6EFB"/>
    <w:rsid w:val="000C71D8"/>
    <w:rsid w:val="000D013B"/>
    <w:rsid w:val="000D06B7"/>
    <w:rsid w:val="000D2FE7"/>
    <w:rsid w:val="000D393F"/>
    <w:rsid w:val="000D3E67"/>
    <w:rsid w:val="000D428A"/>
    <w:rsid w:val="000D4925"/>
    <w:rsid w:val="000D4BD5"/>
    <w:rsid w:val="000D5169"/>
    <w:rsid w:val="000D5AE1"/>
    <w:rsid w:val="000D5D88"/>
    <w:rsid w:val="000D6175"/>
    <w:rsid w:val="000D6280"/>
    <w:rsid w:val="000D6DFF"/>
    <w:rsid w:val="000D7422"/>
    <w:rsid w:val="000D74AE"/>
    <w:rsid w:val="000D7BD6"/>
    <w:rsid w:val="000E0506"/>
    <w:rsid w:val="000E0726"/>
    <w:rsid w:val="000E0AA4"/>
    <w:rsid w:val="000E0C15"/>
    <w:rsid w:val="000E1126"/>
    <w:rsid w:val="000E1289"/>
    <w:rsid w:val="000E187E"/>
    <w:rsid w:val="000E2B39"/>
    <w:rsid w:val="000E3038"/>
    <w:rsid w:val="000E3455"/>
    <w:rsid w:val="000E3E12"/>
    <w:rsid w:val="000E4147"/>
    <w:rsid w:val="000E4B00"/>
    <w:rsid w:val="000E4EBE"/>
    <w:rsid w:val="000E5FAD"/>
    <w:rsid w:val="000E6350"/>
    <w:rsid w:val="000E7C77"/>
    <w:rsid w:val="000F048D"/>
    <w:rsid w:val="000F0E6C"/>
    <w:rsid w:val="000F0F32"/>
    <w:rsid w:val="000F172A"/>
    <w:rsid w:val="000F1991"/>
    <w:rsid w:val="000F1DD6"/>
    <w:rsid w:val="000F2931"/>
    <w:rsid w:val="000F564C"/>
    <w:rsid w:val="000F60A1"/>
    <w:rsid w:val="000F6390"/>
    <w:rsid w:val="000F64A8"/>
    <w:rsid w:val="000F678A"/>
    <w:rsid w:val="000F67A8"/>
    <w:rsid w:val="000F69C7"/>
    <w:rsid w:val="000F6B38"/>
    <w:rsid w:val="00102758"/>
    <w:rsid w:val="00102CC2"/>
    <w:rsid w:val="001031D1"/>
    <w:rsid w:val="001033ED"/>
    <w:rsid w:val="00104498"/>
    <w:rsid w:val="001076ED"/>
    <w:rsid w:val="00107A76"/>
    <w:rsid w:val="00107BE9"/>
    <w:rsid w:val="00107CFC"/>
    <w:rsid w:val="00107F6A"/>
    <w:rsid w:val="0011043D"/>
    <w:rsid w:val="00110604"/>
    <w:rsid w:val="0011067F"/>
    <w:rsid w:val="001106BF"/>
    <w:rsid w:val="00110A20"/>
    <w:rsid w:val="00110B87"/>
    <w:rsid w:val="001115B7"/>
    <w:rsid w:val="00111DC5"/>
    <w:rsid w:val="00112543"/>
    <w:rsid w:val="001127F2"/>
    <w:rsid w:val="00113308"/>
    <w:rsid w:val="001138A6"/>
    <w:rsid w:val="00113EE0"/>
    <w:rsid w:val="001140D4"/>
    <w:rsid w:val="001147AF"/>
    <w:rsid w:val="00114982"/>
    <w:rsid w:val="00114B97"/>
    <w:rsid w:val="00114C27"/>
    <w:rsid w:val="001152E6"/>
    <w:rsid w:val="0011545F"/>
    <w:rsid w:val="0011676F"/>
    <w:rsid w:val="00117254"/>
    <w:rsid w:val="0011774C"/>
    <w:rsid w:val="00117E87"/>
    <w:rsid w:val="001200A8"/>
    <w:rsid w:val="00120B47"/>
    <w:rsid w:val="00120BDB"/>
    <w:rsid w:val="00120F4B"/>
    <w:rsid w:val="0012178A"/>
    <w:rsid w:val="00121F7E"/>
    <w:rsid w:val="00122486"/>
    <w:rsid w:val="001228D7"/>
    <w:rsid w:val="00122A01"/>
    <w:rsid w:val="00124336"/>
    <w:rsid w:val="001247C0"/>
    <w:rsid w:val="00124908"/>
    <w:rsid w:val="00126A84"/>
    <w:rsid w:val="001270A6"/>
    <w:rsid w:val="00127298"/>
    <w:rsid w:val="00127997"/>
    <w:rsid w:val="00127CEC"/>
    <w:rsid w:val="00127E39"/>
    <w:rsid w:val="00127E94"/>
    <w:rsid w:val="001300D3"/>
    <w:rsid w:val="0013026B"/>
    <w:rsid w:val="0013106D"/>
    <w:rsid w:val="001320F1"/>
    <w:rsid w:val="001326BE"/>
    <w:rsid w:val="00132B31"/>
    <w:rsid w:val="00132E36"/>
    <w:rsid w:val="001330CD"/>
    <w:rsid w:val="00134193"/>
    <w:rsid w:val="00134645"/>
    <w:rsid w:val="00135B2B"/>
    <w:rsid w:val="00136093"/>
    <w:rsid w:val="00136EF1"/>
    <w:rsid w:val="00136EF3"/>
    <w:rsid w:val="0013732E"/>
    <w:rsid w:val="0013775A"/>
    <w:rsid w:val="00137969"/>
    <w:rsid w:val="001401C1"/>
    <w:rsid w:val="00140505"/>
    <w:rsid w:val="001405C5"/>
    <w:rsid w:val="00140B33"/>
    <w:rsid w:val="001415DD"/>
    <w:rsid w:val="00141F3B"/>
    <w:rsid w:val="001424B4"/>
    <w:rsid w:val="00142621"/>
    <w:rsid w:val="00143BA9"/>
    <w:rsid w:val="0014435D"/>
    <w:rsid w:val="0014491F"/>
    <w:rsid w:val="001458E9"/>
    <w:rsid w:val="001459EE"/>
    <w:rsid w:val="0014627E"/>
    <w:rsid w:val="001470B8"/>
    <w:rsid w:val="0015034A"/>
    <w:rsid w:val="00150C69"/>
    <w:rsid w:val="00151578"/>
    <w:rsid w:val="00151B39"/>
    <w:rsid w:val="00151BE6"/>
    <w:rsid w:val="00151DC2"/>
    <w:rsid w:val="00152C19"/>
    <w:rsid w:val="00153EA5"/>
    <w:rsid w:val="00154950"/>
    <w:rsid w:val="00155707"/>
    <w:rsid w:val="00155E7D"/>
    <w:rsid w:val="001567F5"/>
    <w:rsid w:val="0015736A"/>
    <w:rsid w:val="001575ED"/>
    <w:rsid w:val="001578CD"/>
    <w:rsid w:val="00160622"/>
    <w:rsid w:val="00160E15"/>
    <w:rsid w:val="00160EE7"/>
    <w:rsid w:val="0016191E"/>
    <w:rsid w:val="00161B96"/>
    <w:rsid w:val="00161BBF"/>
    <w:rsid w:val="00161E6B"/>
    <w:rsid w:val="00162122"/>
    <w:rsid w:val="001624F8"/>
    <w:rsid w:val="001625FA"/>
    <w:rsid w:val="00162BAE"/>
    <w:rsid w:val="001635A5"/>
    <w:rsid w:val="001636E3"/>
    <w:rsid w:val="00164140"/>
    <w:rsid w:val="001647E0"/>
    <w:rsid w:val="0016482F"/>
    <w:rsid w:val="00164F12"/>
    <w:rsid w:val="00166463"/>
    <w:rsid w:val="001672CD"/>
    <w:rsid w:val="00167F1C"/>
    <w:rsid w:val="001709FC"/>
    <w:rsid w:val="00171BCF"/>
    <w:rsid w:val="0017218C"/>
    <w:rsid w:val="00172341"/>
    <w:rsid w:val="001723B2"/>
    <w:rsid w:val="00172629"/>
    <w:rsid w:val="00172E77"/>
    <w:rsid w:val="00173E4A"/>
    <w:rsid w:val="00174534"/>
    <w:rsid w:val="001755CD"/>
    <w:rsid w:val="00175A2E"/>
    <w:rsid w:val="00176077"/>
    <w:rsid w:val="0017613B"/>
    <w:rsid w:val="00176EEF"/>
    <w:rsid w:val="001772EB"/>
    <w:rsid w:val="00177722"/>
    <w:rsid w:val="00177A64"/>
    <w:rsid w:val="00177B67"/>
    <w:rsid w:val="001803F0"/>
    <w:rsid w:val="00180E98"/>
    <w:rsid w:val="00180FFC"/>
    <w:rsid w:val="001814A9"/>
    <w:rsid w:val="00181982"/>
    <w:rsid w:val="00181F09"/>
    <w:rsid w:val="00182DA9"/>
    <w:rsid w:val="00182E4B"/>
    <w:rsid w:val="00183E7C"/>
    <w:rsid w:val="001844C3"/>
    <w:rsid w:val="00184F76"/>
    <w:rsid w:val="001852AF"/>
    <w:rsid w:val="00185840"/>
    <w:rsid w:val="00185936"/>
    <w:rsid w:val="001860FD"/>
    <w:rsid w:val="00186420"/>
    <w:rsid w:val="00186813"/>
    <w:rsid w:val="00186B69"/>
    <w:rsid w:val="00186EE1"/>
    <w:rsid w:val="00187056"/>
    <w:rsid w:val="001872B3"/>
    <w:rsid w:val="0018752C"/>
    <w:rsid w:val="00187814"/>
    <w:rsid w:val="00190C9B"/>
    <w:rsid w:val="00191F8E"/>
    <w:rsid w:val="00192244"/>
    <w:rsid w:val="00192787"/>
    <w:rsid w:val="00192887"/>
    <w:rsid w:val="00192D37"/>
    <w:rsid w:val="00192FD8"/>
    <w:rsid w:val="001930E3"/>
    <w:rsid w:val="00193B26"/>
    <w:rsid w:val="00193F8C"/>
    <w:rsid w:val="00194A1C"/>
    <w:rsid w:val="00194F4F"/>
    <w:rsid w:val="00194FD3"/>
    <w:rsid w:val="001952BF"/>
    <w:rsid w:val="00195B58"/>
    <w:rsid w:val="0019617F"/>
    <w:rsid w:val="00197162"/>
    <w:rsid w:val="001975D0"/>
    <w:rsid w:val="001A00D7"/>
    <w:rsid w:val="001A01C1"/>
    <w:rsid w:val="001A0BB1"/>
    <w:rsid w:val="001A15C2"/>
    <w:rsid w:val="001A176B"/>
    <w:rsid w:val="001A1B92"/>
    <w:rsid w:val="001A244E"/>
    <w:rsid w:val="001A2B0F"/>
    <w:rsid w:val="001A2CBB"/>
    <w:rsid w:val="001A2EE0"/>
    <w:rsid w:val="001A3687"/>
    <w:rsid w:val="001A39F1"/>
    <w:rsid w:val="001A4065"/>
    <w:rsid w:val="001A579E"/>
    <w:rsid w:val="001A5F52"/>
    <w:rsid w:val="001A6E7E"/>
    <w:rsid w:val="001A74CA"/>
    <w:rsid w:val="001A77C9"/>
    <w:rsid w:val="001A7EAB"/>
    <w:rsid w:val="001B01A8"/>
    <w:rsid w:val="001B0359"/>
    <w:rsid w:val="001B12C8"/>
    <w:rsid w:val="001B1D0A"/>
    <w:rsid w:val="001B24C2"/>
    <w:rsid w:val="001B2672"/>
    <w:rsid w:val="001B2A94"/>
    <w:rsid w:val="001B2AB2"/>
    <w:rsid w:val="001B3265"/>
    <w:rsid w:val="001B3D57"/>
    <w:rsid w:val="001B3F98"/>
    <w:rsid w:val="001B40EF"/>
    <w:rsid w:val="001B4DA9"/>
    <w:rsid w:val="001B4F2F"/>
    <w:rsid w:val="001B56C9"/>
    <w:rsid w:val="001B58A3"/>
    <w:rsid w:val="001B6C4B"/>
    <w:rsid w:val="001B71F8"/>
    <w:rsid w:val="001B76D0"/>
    <w:rsid w:val="001C065E"/>
    <w:rsid w:val="001C0C1F"/>
    <w:rsid w:val="001C0C8A"/>
    <w:rsid w:val="001C0D42"/>
    <w:rsid w:val="001C1542"/>
    <w:rsid w:val="001C171C"/>
    <w:rsid w:val="001C1C23"/>
    <w:rsid w:val="001C2547"/>
    <w:rsid w:val="001C273D"/>
    <w:rsid w:val="001C2C32"/>
    <w:rsid w:val="001C2DD1"/>
    <w:rsid w:val="001C2EB1"/>
    <w:rsid w:val="001C3480"/>
    <w:rsid w:val="001C3546"/>
    <w:rsid w:val="001C3910"/>
    <w:rsid w:val="001C3955"/>
    <w:rsid w:val="001C4EDB"/>
    <w:rsid w:val="001C566A"/>
    <w:rsid w:val="001C670A"/>
    <w:rsid w:val="001C793F"/>
    <w:rsid w:val="001D0A8A"/>
    <w:rsid w:val="001D0FA4"/>
    <w:rsid w:val="001D1CAE"/>
    <w:rsid w:val="001D1F60"/>
    <w:rsid w:val="001D2745"/>
    <w:rsid w:val="001D2888"/>
    <w:rsid w:val="001D3112"/>
    <w:rsid w:val="001D3274"/>
    <w:rsid w:val="001D3CC9"/>
    <w:rsid w:val="001D4231"/>
    <w:rsid w:val="001D457A"/>
    <w:rsid w:val="001D476C"/>
    <w:rsid w:val="001D552E"/>
    <w:rsid w:val="001D55F9"/>
    <w:rsid w:val="001D58EE"/>
    <w:rsid w:val="001D6216"/>
    <w:rsid w:val="001D668A"/>
    <w:rsid w:val="001D688A"/>
    <w:rsid w:val="001D7A41"/>
    <w:rsid w:val="001D7BDA"/>
    <w:rsid w:val="001E0A12"/>
    <w:rsid w:val="001E0A14"/>
    <w:rsid w:val="001E1DA4"/>
    <w:rsid w:val="001E2188"/>
    <w:rsid w:val="001E38D0"/>
    <w:rsid w:val="001E4FC6"/>
    <w:rsid w:val="001E5817"/>
    <w:rsid w:val="001E6750"/>
    <w:rsid w:val="001E7396"/>
    <w:rsid w:val="001E7540"/>
    <w:rsid w:val="001E7C73"/>
    <w:rsid w:val="001F0357"/>
    <w:rsid w:val="001F03D0"/>
    <w:rsid w:val="001F0983"/>
    <w:rsid w:val="001F1357"/>
    <w:rsid w:val="001F16FF"/>
    <w:rsid w:val="001F1AEE"/>
    <w:rsid w:val="001F22C0"/>
    <w:rsid w:val="001F281D"/>
    <w:rsid w:val="001F287A"/>
    <w:rsid w:val="001F2A5B"/>
    <w:rsid w:val="001F359F"/>
    <w:rsid w:val="001F3B7A"/>
    <w:rsid w:val="001F413F"/>
    <w:rsid w:val="001F53BA"/>
    <w:rsid w:val="001F5567"/>
    <w:rsid w:val="001F58E9"/>
    <w:rsid w:val="001F6589"/>
    <w:rsid w:val="001F6BB1"/>
    <w:rsid w:val="001F6C09"/>
    <w:rsid w:val="001F7298"/>
    <w:rsid w:val="001F771F"/>
    <w:rsid w:val="001F7F89"/>
    <w:rsid w:val="00200C03"/>
    <w:rsid w:val="002010C2"/>
    <w:rsid w:val="002022FE"/>
    <w:rsid w:val="00202F63"/>
    <w:rsid w:val="00203C20"/>
    <w:rsid w:val="00203FCD"/>
    <w:rsid w:val="00204492"/>
    <w:rsid w:val="00204496"/>
    <w:rsid w:val="00204E13"/>
    <w:rsid w:val="00204E91"/>
    <w:rsid w:val="002050D8"/>
    <w:rsid w:val="00205209"/>
    <w:rsid w:val="00205B3E"/>
    <w:rsid w:val="00205EC4"/>
    <w:rsid w:val="00206BAD"/>
    <w:rsid w:val="0020729F"/>
    <w:rsid w:val="00207DD6"/>
    <w:rsid w:val="00207E02"/>
    <w:rsid w:val="00210223"/>
    <w:rsid w:val="002109DD"/>
    <w:rsid w:val="00210B9A"/>
    <w:rsid w:val="00210BEE"/>
    <w:rsid w:val="0021127D"/>
    <w:rsid w:val="00211435"/>
    <w:rsid w:val="00211496"/>
    <w:rsid w:val="00211C2A"/>
    <w:rsid w:val="00211E15"/>
    <w:rsid w:val="00212991"/>
    <w:rsid w:val="002130DE"/>
    <w:rsid w:val="00213408"/>
    <w:rsid w:val="002137E0"/>
    <w:rsid w:val="00213914"/>
    <w:rsid w:val="00213A27"/>
    <w:rsid w:val="00215D8F"/>
    <w:rsid w:val="00215ECC"/>
    <w:rsid w:val="0021603A"/>
    <w:rsid w:val="0021776B"/>
    <w:rsid w:val="0021776C"/>
    <w:rsid w:val="002215E5"/>
    <w:rsid w:val="002216CC"/>
    <w:rsid w:val="002217FD"/>
    <w:rsid w:val="00221A0E"/>
    <w:rsid w:val="00221A6C"/>
    <w:rsid w:val="00221B8D"/>
    <w:rsid w:val="00221DF3"/>
    <w:rsid w:val="00222AE5"/>
    <w:rsid w:val="00222EC0"/>
    <w:rsid w:val="0022338F"/>
    <w:rsid w:val="00223DBC"/>
    <w:rsid w:val="0022510A"/>
    <w:rsid w:val="002269D4"/>
    <w:rsid w:val="00226E13"/>
    <w:rsid w:val="00227064"/>
    <w:rsid w:val="0022706B"/>
    <w:rsid w:val="002270B8"/>
    <w:rsid w:val="00227293"/>
    <w:rsid w:val="00227699"/>
    <w:rsid w:val="002278B2"/>
    <w:rsid w:val="0023057A"/>
    <w:rsid w:val="00230772"/>
    <w:rsid w:val="00230800"/>
    <w:rsid w:val="00230DC5"/>
    <w:rsid w:val="00231B71"/>
    <w:rsid w:val="00231D45"/>
    <w:rsid w:val="00232205"/>
    <w:rsid w:val="0023238B"/>
    <w:rsid w:val="00232632"/>
    <w:rsid w:val="00232EDD"/>
    <w:rsid w:val="00234F35"/>
    <w:rsid w:val="00235258"/>
    <w:rsid w:val="002354FD"/>
    <w:rsid w:val="0023583D"/>
    <w:rsid w:val="00235B63"/>
    <w:rsid w:val="00235D72"/>
    <w:rsid w:val="00236548"/>
    <w:rsid w:val="00236F03"/>
    <w:rsid w:val="002370AE"/>
    <w:rsid w:val="00237CA5"/>
    <w:rsid w:val="00240396"/>
    <w:rsid w:val="002407FA"/>
    <w:rsid w:val="00241516"/>
    <w:rsid w:val="002419AB"/>
    <w:rsid w:val="00241C77"/>
    <w:rsid w:val="00241F13"/>
    <w:rsid w:val="0024254A"/>
    <w:rsid w:val="00244B21"/>
    <w:rsid w:val="0024580A"/>
    <w:rsid w:val="00245B83"/>
    <w:rsid w:val="00246200"/>
    <w:rsid w:val="002464A3"/>
    <w:rsid w:val="002470CC"/>
    <w:rsid w:val="00247193"/>
    <w:rsid w:val="00247617"/>
    <w:rsid w:val="00247651"/>
    <w:rsid w:val="0024776B"/>
    <w:rsid w:val="00247D00"/>
    <w:rsid w:val="00247E2B"/>
    <w:rsid w:val="00247F75"/>
    <w:rsid w:val="00250873"/>
    <w:rsid w:val="0025122B"/>
    <w:rsid w:val="002514A8"/>
    <w:rsid w:val="002514D0"/>
    <w:rsid w:val="00251709"/>
    <w:rsid w:val="0025225E"/>
    <w:rsid w:val="00252815"/>
    <w:rsid w:val="00252B50"/>
    <w:rsid w:val="00252FAD"/>
    <w:rsid w:val="00253530"/>
    <w:rsid w:val="00253569"/>
    <w:rsid w:val="00253E05"/>
    <w:rsid w:val="00254199"/>
    <w:rsid w:val="0025458B"/>
    <w:rsid w:val="00254BFF"/>
    <w:rsid w:val="00255132"/>
    <w:rsid w:val="002552C7"/>
    <w:rsid w:val="0025536A"/>
    <w:rsid w:val="00255592"/>
    <w:rsid w:val="002558FB"/>
    <w:rsid w:val="002564CB"/>
    <w:rsid w:val="00256897"/>
    <w:rsid w:val="00256BE6"/>
    <w:rsid w:val="00256D3D"/>
    <w:rsid w:val="00257403"/>
    <w:rsid w:val="002579AA"/>
    <w:rsid w:val="00257A8E"/>
    <w:rsid w:val="002601A4"/>
    <w:rsid w:val="00260D30"/>
    <w:rsid w:val="00261B2A"/>
    <w:rsid w:val="00261C72"/>
    <w:rsid w:val="00263532"/>
    <w:rsid w:val="002636CE"/>
    <w:rsid w:val="00263DF5"/>
    <w:rsid w:val="00264170"/>
    <w:rsid w:val="002649F3"/>
    <w:rsid w:val="00264AB6"/>
    <w:rsid w:val="0026540E"/>
    <w:rsid w:val="0026574A"/>
    <w:rsid w:val="00265887"/>
    <w:rsid w:val="00265E40"/>
    <w:rsid w:val="00266AB8"/>
    <w:rsid w:val="002675BC"/>
    <w:rsid w:val="0027063D"/>
    <w:rsid w:val="002706E9"/>
    <w:rsid w:val="00270B45"/>
    <w:rsid w:val="00270F40"/>
    <w:rsid w:val="002718C5"/>
    <w:rsid w:val="00271C81"/>
    <w:rsid w:val="00271CA9"/>
    <w:rsid w:val="00272292"/>
    <w:rsid w:val="0027232D"/>
    <w:rsid w:val="002723CA"/>
    <w:rsid w:val="00273FB4"/>
    <w:rsid w:val="0027461E"/>
    <w:rsid w:val="00275CE3"/>
    <w:rsid w:val="00275D35"/>
    <w:rsid w:val="002760DE"/>
    <w:rsid w:val="00276540"/>
    <w:rsid w:val="00276ED9"/>
    <w:rsid w:val="00277487"/>
    <w:rsid w:val="00277C45"/>
    <w:rsid w:val="0028010D"/>
    <w:rsid w:val="00280407"/>
    <w:rsid w:val="00280C2D"/>
    <w:rsid w:val="00280CDF"/>
    <w:rsid w:val="00280DBD"/>
    <w:rsid w:val="002811E7"/>
    <w:rsid w:val="00282650"/>
    <w:rsid w:val="00282807"/>
    <w:rsid w:val="00282AC3"/>
    <w:rsid w:val="00282AF6"/>
    <w:rsid w:val="002839D6"/>
    <w:rsid w:val="00283A81"/>
    <w:rsid w:val="00283D71"/>
    <w:rsid w:val="002844D2"/>
    <w:rsid w:val="002846DD"/>
    <w:rsid w:val="0028538D"/>
    <w:rsid w:val="00286F9C"/>
    <w:rsid w:val="00287776"/>
    <w:rsid w:val="002879BC"/>
    <w:rsid w:val="002904FF"/>
    <w:rsid w:val="00290C79"/>
    <w:rsid w:val="00290D73"/>
    <w:rsid w:val="00290EE9"/>
    <w:rsid w:val="00291400"/>
    <w:rsid w:val="00291416"/>
    <w:rsid w:val="00291B13"/>
    <w:rsid w:val="00292454"/>
    <w:rsid w:val="0029271B"/>
    <w:rsid w:val="00292767"/>
    <w:rsid w:val="00293ABF"/>
    <w:rsid w:val="00294759"/>
    <w:rsid w:val="00294860"/>
    <w:rsid w:val="002948FC"/>
    <w:rsid w:val="00294A84"/>
    <w:rsid w:val="00294D7E"/>
    <w:rsid w:val="002950CE"/>
    <w:rsid w:val="00295177"/>
    <w:rsid w:val="00295366"/>
    <w:rsid w:val="00296679"/>
    <w:rsid w:val="0029776C"/>
    <w:rsid w:val="00297E8B"/>
    <w:rsid w:val="002A0B8B"/>
    <w:rsid w:val="002A0BD5"/>
    <w:rsid w:val="002A0EC8"/>
    <w:rsid w:val="002A0FA7"/>
    <w:rsid w:val="002A1196"/>
    <w:rsid w:val="002A1F84"/>
    <w:rsid w:val="002A21A5"/>
    <w:rsid w:val="002A21D3"/>
    <w:rsid w:val="002A222C"/>
    <w:rsid w:val="002A279C"/>
    <w:rsid w:val="002A27FF"/>
    <w:rsid w:val="002A3DBA"/>
    <w:rsid w:val="002A44E0"/>
    <w:rsid w:val="002A534E"/>
    <w:rsid w:val="002A5E50"/>
    <w:rsid w:val="002A75FA"/>
    <w:rsid w:val="002B0509"/>
    <w:rsid w:val="002B0704"/>
    <w:rsid w:val="002B0C4F"/>
    <w:rsid w:val="002B134D"/>
    <w:rsid w:val="002B1534"/>
    <w:rsid w:val="002B204C"/>
    <w:rsid w:val="002B3C4A"/>
    <w:rsid w:val="002B3E0B"/>
    <w:rsid w:val="002B3E8E"/>
    <w:rsid w:val="002B413A"/>
    <w:rsid w:val="002B434F"/>
    <w:rsid w:val="002B4719"/>
    <w:rsid w:val="002B49B9"/>
    <w:rsid w:val="002B5ABB"/>
    <w:rsid w:val="002B5BB6"/>
    <w:rsid w:val="002B67B8"/>
    <w:rsid w:val="002B695E"/>
    <w:rsid w:val="002C02C6"/>
    <w:rsid w:val="002C05FB"/>
    <w:rsid w:val="002C0934"/>
    <w:rsid w:val="002C0A32"/>
    <w:rsid w:val="002C18DA"/>
    <w:rsid w:val="002C23B1"/>
    <w:rsid w:val="002C2574"/>
    <w:rsid w:val="002C2581"/>
    <w:rsid w:val="002C2DD7"/>
    <w:rsid w:val="002C3B9F"/>
    <w:rsid w:val="002C3BB5"/>
    <w:rsid w:val="002C4D7E"/>
    <w:rsid w:val="002C4DD0"/>
    <w:rsid w:val="002C4FFD"/>
    <w:rsid w:val="002C522F"/>
    <w:rsid w:val="002C5E2C"/>
    <w:rsid w:val="002C69FE"/>
    <w:rsid w:val="002C6DD6"/>
    <w:rsid w:val="002C7A5E"/>
    <w:rsid w:val="002D0B54"/>
    <w:rsid w:val="002D1DAA"/>
    <w:rsid w:val="002D1F42"/>
    <w:rsid w:val="002D2134"/>
    <w:rsid w:val="002D25A1"/>
    <w:rsid w:val="002D26E9"/>
    <w:rsid w:val="002D2F29"/>
    <w:rsid w:val="002D3059"/>
    <w:rsid w:val="002D3351"/>
    <w:rsid w:val="002D353E"/>
    <w:rsid w:val="002D395B"/>
    <w:rsid w:val="002D3DAE"/>
    <w:rsid w:val="002D431B"/>
    <w:rsid w:val="002D4947"/>
    <w:rsid w:val="002D4C61"/>
    <w:rsid w:val="002D5A81"/>
    <w:rsid w:val="002D6BB7"/>
    <w:rsid w:val="002D6ECB"/>
    <w:rsid w:val="002D6F65"/>
    <w:rsid w:val="002D717B"/>
    <w:rsid w:val="002D76D7"/>
    <w:rsid w:val="002D7864"/>
    <w:rsid w:val="002D7B1B"/>
    <w:rsid w:val="002D7DED"/>
    <w:rsid w:val="002E0234"/>
    <w:rsid w:val="002E07FD"/>
    <w:rsid w:val="002E09FF"/>
    <w:rsid w:val="002E0C4B"/>
    <w:rsid w:val="002E109C"/>
    <w:rsid w:val="002E1C04"/>
    <w:rsid w:val="002E2620"/>
    <w:rsid w:val="002E26CF"/>
    <w:rsid w:val="002E274D"/>
    <w:rsid w:val="002E2942"/>
    <w:rsid w:val="002E358E"/>
    <w:rsid w:val="002E3876"/>
    <w:rsid w:val="002E3A21"/>
    <w:rsid w:val="002E3F8A"/>
    <w:rsid w:val="002E3FD4"/>
    <w:rsid w:val="002E40DF"/>
    <w:rsid w:val="002E41CC"/>
    <w:rsid w:val="002E4385"/>
    <w:rsid w:val="002E48F0"/>
    <w:rsid w:val="002E4E09"/>
    <w:rsid w:val="002E4E8B"/>
    <w:rsid w:val="002E668A"/>
    <w:rsid w:val="002E7012"/>
    <w:rsid w:val="002E7C1B"/>
    <w:rsid w:val="002E7E6F"/>
    <w:rsid w:val="002F0AA8"/>
    <w:rsid w:val="002F1F42"/>
    <w:rsid w:val="002F30A0"/>
    <w:rsid w:val="002F3535"/>
    <w:rsid w:val="002F364B"/>
    <w:rsid w:val="002F36C4"/>
    <w:rsid w:val="002F484B"/>
    <w:rsid w:val="002F5BAF"/>
    <w:rsid w:val="002F6017"/>
    <w:rsid w:val="002F637C"/>
    <w:rsid w:val="002F6ED6"/>
    <w:rsid w:val="002F782C"/>
    <w:rsid w:val="00300810"/>
    <w:rsid w:val="003008D0"/>
    <w:rsid w:val="00300B37"/>
    <w:rsid w:val="0030107E"/>
    <w:rsid w:val="00301ACE"/>
    <w:rsid w:val="00301BFC"/>
    <w:rsid w:val="00301EB5"/>
    <w:rsid w:val="00303907"/>
    <w:rsid w:val="00303F7E"/>
    <w:rsid w:val="00304296"/>
    <w:rsid w:val="003049EB"/>
    <w:rsid w:val="00304FE7"/>
    <w:rsid w:val="003054EA"/>
    <w:rsid w:val="00305E40"/>
    <w:rsid w:val="003062E5"/>
    <w:rsid w:val="00306BE9"/>
    <w:rsid w:val="00306CB5"/>
    <w:rsid w:val="00307A71"/>
    <w:rsid w:val="00307E51"/>
    <w:rsid w:val="0031033A"/>
    <w:rsid w:val="003108CF"/>
    <w:rsid w:val="00310D37"/>
    <w:rsid w:val="00311B9E"/>
    <w:rsid w:val="00312170"/>
    <w:rsid w:val="0031285C"/>
    <w:rsid w:val="0031370E"/>
    <w:rsid w:val="00313DC8"/>
    <w:rsid w:val="00314377"/>
    <w:rsid w:val="00314BD6"/>
    <w:rsid w:val="00315348"/>
    <w:rsid w:val="003154F5"/>
    <w:rsid w:val="00315612"/>
    <w:rsid w:val="00315F9D"/>
    <w:rsid w:val="003164FE"/>
    <w:rsid w:val="00316EA9"/>
    <w:rsid w:val="0031736A"/>
    <w:rsid w:val="003173ED"/>
    <w:rsid w:val="003176E2"/>
    <w:rsid w:val="00317856"/>
    <w:rsid w:val="003179DF"/>
    <w:rsid w:val="003201DD"/>
    <w:rsid w:val="003206DF"/>
    <w:rsid w:val="003209E7"/>
    <w:rsid w:val="00321539"/>
    <w:rsid w:val="00322A04"/>
    <w:rsid w:val="00322AA6"/>
    <w:rsid w:val="00323116"/>
    <w:rsid w:val="00323F74"/>
    <w:rsid w:val="00323F92"/>
    <w:rsid w:val="0032404D"/>
    <w:rsid w:val="0032433C"/>
    <w:rsid w:val="00326671"/>
    <w:rsid w:val="003269A7"/>
    <w:rsid w:val="003276E3"/>
    <w:rsid w:val="00327721"/>
    <w:rsid w:val="00327921"/>
    <w:rsid w:val="00330710"/>
    <w:rsid w:val="00330917"/>
    <w:rsid w:val="00330B86"/>
    <w:rsid w:val="003315F7"/>
    <w:rsid w:val="0033178A"/>
    <w:rsid w:val="00331DC4"/>
    <w:rsid w:val="00332EE3"/>
    <w:rsid w:val="00333281"/>
    <w:rsid w:val="00333437"/>
    <w:rsid w:val="00334BF7"/>
    <w:rsid w:val="00334E86"/>
    <w:rsid w:val="003354AB"/>
    <w:rsid w:val="00335704"/>
    <w:rsid w:val="00335AED"/>
    <w:rsid w:val="00335F78"/>
    <w:rsid w:val="003369BD"/>
    <w:rsid w:val="003372B6"/>
    <w:rsid w:val="00337752"/>
    <w:rsid w:val="00342AD0"/>
    <w:rsid w:val="003438C7"/>
    <w:rsid w:val="003438F9"/>
    <w:rsid w:val="00343F85"/>
    <w:rsid w:val="00344908"/>
    <w:rsid w:val="00345671"/>
    <w:rsid w:val="00345CEC"/>
    <w:rsid w:val="00345CFA"/>
    <w:rsid w:val="00347234"/>
    <w:rsid w:val="003472A0"/>
    <w:rsid w:val="003478B5"/>
    <w:rsid w:val="00347A72"/>
    <w:rsid w:val="0035016E"/>
    <w:rsid w:val="00350C2C"/>
    <w:rsid w:val="00351445"/>
    <w:rsid w:val="0035176E"/>
    <w:rsid w:val="00351C19"/>
    <w:rsid w:val="003520EC"/>
    <w:rsid w:val="00352BA7"/>
    <w:rsid w:val="00352F52"/>
    <w:rsid w:val="0035419A"/>
    <w:rsid w:val="00354C80"/>
    <w:rsid w:val="00354D6F"/>
    <w:rsid w:val="00355069"/>
    <w:rsid w:val="00355100"/>
    <w:rsid w:val="00355BEA"/>
    <w:rsid w:val="00355D4D"/>
    <w:rsid w:val="00355F10"/>
    <w:rsid w:val="00355F79"/>
    <w:rsid w:val="0035602C"/>
    <w:rsid w:val="00356175"/>
    <w:rsid w:val="00356275"/>
    <w:rsid w:val="0035692A"/>
    <w:rsid w:val="00356A5A"/>
    <w:rsid w:val="00357B4C"/>
    <w:rsid w:val="003601EF"/>
    <w:rsid w:val="003604C0"/>
    <w:rsid w:val="00360D93"/>
    <w:rsid w:val="00360E2C"/>
    <w:rsid w:val="003610F3"/>
    <w:rsid w:val="00362772"/>
    <w:rsid w:val="00362B0E"/>
    <w:rsid w:val="00362C20"/>
    <w:rsid w:val="00362F0A"/>
    <w:rsid w:val="0036314E"/>
    <w:rsid w:val="00363396"/>
    <w:rsid w:val="00364970"/>
    <w:rsid w:val="00364B15"/>
    <w:rsid w:val="00364EA2"/>
    <w:rsid w:val="00364F83"/>
    <w:rsid w:val="00365C66"/>
    <w:rsid w:val="003661CC"/>
    <w:rsid w:val="00366EE6"/>
    <w:rsid w:val="00367454"/>
    <w:rsid w:val="003674E8"/>
    <w:rsid w:val="00367DDE"/>
    <w:rsid w:val="003702C6"/>
    <w:rsid w:val="00370A91"/>
    <w:rsid w:val="00371007"/>
    <w:rsid w:val="0037143E"/>
    <w:rsid w:val="003716E6"/>
    <w:rsid w:val="00371F05"/>
    <w:rsid w:val="00371F90"/>
    <w:rsid w:val="00372063"/>
    <w:rsid w:val="0037222D"/>
    <w:rsid w:val="003729D9"/>
    <w:rsid w:val="00372B1F"/>
    <w:rsid w:val="00372B41"/>
    <w:rsid w:val="00373082"/>
    <w:rsid w:val="00373636"/>
    <w:rsid w:val="00373820"/>
    <w:rsid w:val="00374026"/>
    <w:rsid w:val="003741C0"/>
    <w:rsid w:val="00374A6B"/>
    <w:rsid w:val="00374D94"/>
    <w:rsid w:val="0037539D"/>
    <w:rsid w:val="003759D1"/>
    <w:rsid w:val="00375C4C"/>
    <w:rsid w:val="00375D81"/>
    <w:rsid w:val="00376988"/>
    <w:rsid w:val="00376D52"/>
    <w:rsid w:val="00377AC7"/>
    <w:rsid w:val="00377C2E"/>
    <w:rsid w:val="00380421"/>
    <w:rsid w:val="003807F5"/>
    <w:rsid w:val="00381B68"/>
    <w:rsid w:val="003839A2"/>
    <w:rsid w:val="00384000"/>
    <w:rsid w:val="00384446"/>
    <w:rsid w:val="00385017"/>
    <w:rsid w:val="003856BD"/>
    <w:rsid w:val="00385B07"/>
    <w:rsid w:val="00385F4D"/>
    <w:rsid w:val="003862A5"/>
    <w:rsid w:val="00386988"/>
    <w:rsid w:val="0039084D"/>
    <w:rsid w:val="00392A8C"/>
    <w:rsid w:val="00393343"/>
    <w:rsid w:val="003968FE"/>
    <w:rsid w:val="00396DAC"/>
    <w:rsid w:val="003973F0"/>
    <w:rsid w:val="00397963"/>
    <w:rsid w:val="00397BAC"/>
    <w:rsid w:val="003A0125"/>
    <w:rsid w:val="003A0202"/>
    <w:rsid w:val="003A0441"/>
    <w:rsid w:val="003A1218"/>
    <w:rsid w:val="003A1D2A"/>
    <w:rsid w:val="003A29CF"/>
    <w:rsid w:val="003A313C"/>
    <w:rsid w:val="003A3565"/>
    <w:rsid w:val="003A4431"/>
    <w:rsid w:val="003A54C1"/>
    <w:rsid w:val="003A55D1"/>
    <w:rsid w:val="003A57F1"/>
    <w:rsid w:val="003A5E32"/>
    <w:rsid w:val="003A6C31"/>
    <w:rsid w:val="003A703D"/>
    <w:rsid w:val="003A73FC"/>
    <w:rsid w:val="003A75F5"/>
    <w:rsid w:val="003B05E5"/>
    <w:rsid w:val="003B06EE"/>
    <w:rsid w:val="003B08D1"/>
    <w:rsid w:val="003B0F87"/>
    <w:rsid w:val="003B1D1B"/>
    <w:rsid w:val="003B1EBF"/>
    <w:rsid w:val="003B2087"/>
    <w:rsid w:val="003B224A"/>
    <w:rsid w:val="003B23CA"/>
    <w:rsid w:val="003B240E"/>
    <w:rsid w:val="003B2676"/>
    <w:rsid w:val="003B2C05"/>
    <w:rsid w:val="003B441D"/>
    <w:rsid w:val="003B45B8"/>
    <w:rsid w:val="003B5532"/>
    <w:rsid w:val="003B5593"/>
    <w:rsid w:val="003B598C"/>
    <w:rsid w:val="003B5F26"/>
    <w:rsid w:val="003B6221"/>
    <w:rsid w:val="003B658E"/>
    <w:rsid w:val="003B6837"/>
    <w:rsid w:val="003B6988"/>
    <w:rsid w:val="003B7214"/>
    <w:rsid w:val="003B72A1"/>
    <w:rsid w:val="003C082F"/>
    <w:rsid w:val="003C0DBF"/>
    <w:rsid w:val="003C0FBC"/>
    <w:rsid w:val="003C1047"/>
    <w:rsid w:val="003C10BB"/>
    <w:rsid w:val="003C1149"/>
    <w:rsid w:val="003C11BE"/>
    <w:rsid w:val="003C1214"/>
    <w:rsid w:val="003C138D"/>
    <w:rsid w:val="003C1562"/>
    <w:rsid w:val="003C1F77"/>
    <w:rsid w:val="003C333D"/>
    <w:rsid w:val="003C465D"/>
    <w:rsid w:val="003C4A00"/>
    <w:rsid w:val="003C4B6D"/>
    <w:rsid w:val="003C4BF8"/>
    <w:rsid w:val="003C4EBB"/>
    <w:rsid w:val="003C59EF"/>
    <w:rsid w:val="003C689B"/>
    <w:rsid w:val="003C7322"/>
    <w:rsid w:val="003C7623"/>
    <w:rsid w:val="003C7A6A"/>
    <w:rsid w:val="003D13CA"/>
    <w:rsid w:val="003D19D2"/>
    <w:rsid w:val="003D1A98"/>
    <w:rsid w:val="003D25F5"/>
    <w:rsid w:val="003D2F1A"/>
    <w:rsid w:val="003D33AF"/>
    <w:rsid w:val="003D4880"/>
    <w:rsid w:val="003D5018"/>
    <w:rsid w:val="003D5051"/>
    <w:rsid w:val="003D5222"/>
    <w:rsid w:val="003D5476"/>
    <w:rsid w:val="003D6423"/>
    <w:rsid w:val="003D66B8"/>
    <w:rsid w:val="003D6D54"/>
    <w:rsid w:val="003D6D8E"/>
    <w:rsid w:val="003D737A"/>
    <w:rsid w:val="003E006C"/>
    <w:rsid w:val="003E09A8"/>
    <w:rsid w:val="003E09F4"/>
    <w:rsid w:val="003E0F20"/>
    <w:rsid w:val="003E11C7"/>
    <w:rsid w:val="003E1299"/>
    <w:rsid w:val="003E23FE"/>
    <w:rsid w:val="003E2C8B"/>
    <w:rsid w:val="003E357A"/>
    <w:rsid w:val="003E36E5"/>
    <w:rsid w:val="003E3845"/>
    <w:rsid w:val="003E3A75"/>
    <w:rsid w:val="003E3DB1"/>
    <w:rsid w:val="003E3E89"/>
    <w:rsid w:val="003E4566"/>
    <w:rsid w:val="003E48B1"/>
    <w:rsid w:val="003E4B40"/>
    <w:rsid w:val="003E523B"/>
    <w:rsid w:val="003E5672"/>
    <w:rsid w:val="003E58E3"/>
    <w:rsid w:val="003E5C94"/>
    <w:rsid w:val="003E5D53"/>
    <w:rsid w:val="003E5DE6"/>
    <w:rsid w:val="003E66C9"/>
    <w:rsid w:val="003E66FC"/>
    <w:rsid w:val="003E6B98"/>
    <w:rsid w:val="003E6D0B"/>
    <w:rsid w:val="003E6E1B"/>
    <w:rsid w:val="003E7D2E"/>
    <w:rsid w:val="003E7EC8"/>
    <w:rsid w:val="003F09D7"/>
    <w:rsid w:val="003F0EB8"/>
    <w:rsid w:val="003F1A3B"/>
    <w:rsid w:val="003F1AC2"/>
    <w:rsid w:val="003F1C60"/>
    <w:rsid w:val="003F1E34"/>
    <w:rsid w:val="003F21E6"/>
    <w:rsid w:val="003F2734"/>
    <w:rsid w:val="003F4A99"/>
    <w:rsid w:val="003F4FA6"/>
    <w:rsid w:val="003F5883"/>
    <w:rsid w:val="003F5AA8"/>
    <w:rsid w:val="003F7214"/>
    <w:rsid w:val="003F7F0F"/>
    <w:rsid w:val="00400B8D"/>
    <w:rsid w:val="00400FE4"/>
    <w:rsid w:val="00401375"/>
    <w:rsid w:val="00401645"/>
    <w:rsid w:val="0040164E"/>
    <w:rsid w:val="00401974"/>
    <w:rsid w:val="00401B6F"/>
    <w:rsid w:val="004020DB"/>
    <w:rsid w:val="00402339"/>
    <w:rsid w:val="00405954"/>
    <w:rsid w:val="00405C58"/>
    <w:rsid w:val="00407248"/>
    <w:rsid w:val="004077DB"/>
    <w:rsid w:val="00407F8B"/>
    <w:rsid w:val="0041050E"/>
    <w:rsid w:val="00410CBB"/>
    <w:rsid w:val="004119BD"/>
    <w:rsid w:val="00412776"/>
    <w:rsid w:val="004129D9"/>
    <w:rsid w:val="00412E86"/>
    <w:rsid w:val="00414063"/>
    <w:rsid w:val="004141D9"/>
    <w:rsid w:val="00414688"/>
    <w:rsid w:val="00414DC9"/>
    <w:rsid w:val="0041524E"/>
    <w:rsid w:val="00415ED0"/>
    <w:rsid w:val="00416138"/>
    <w:rsid w:val="0041703B"/>
    <w:rsid w:val="004176B5"/>
    <w:rsid w:val="00420050"/>
    <w:rsid w:val="004203B1"/>
    <w:rsid w:val="0042105E"/>
    <w:rsid w:val="00421B61"/>
    <w:rsid w:val="00421C52"/>
    <w:rsid w:val="004229BB"/>
    <w:rsid w:val="0042322D"/>
    <w:rsid w:val="0042376E"/>
    <w:rsid w:val="00423C44"/>
    <w:rsid w:val="0042416E"/>
    <w:rsid w:val="0042422A"/>
    <w:rsid w:val="00425204"/>
    <w:rsid w:val="004259DF"/>
    <w:rsid w:val="00425AFC"/>
    <w:rsid w:val="00426F15"/>
    <w:rsid w:val="00426F51"/>
    <w:rsid w:val="00427506"/>
    <w:rsid w:val="00431634"/>
    <w:rsid w:val="004319CF"/>
    <w:rsid w:val="004319D9"/>
    <w:rsid w:val="00431C51"/>
    <w:rsid w:val="004330AC"/>
    <w:rsid w:val="004331BF"/>
    <w:rsid w:val="004334A9"/>
    <w:rsid w:val="00433520"/>
    <w:rsid w:val="0043375D"/>
    <w:rsid w:val="00436245"/>
    <w:rsid w:val="00436C54"/>
    <w:rsid w:val="00436C8A"/>
    <w:rsid w:val="004375E9"/>
    <w:rsid w:val="00437641"/>
    <w:rsid w:val="00440DF2"/>
    <w:rsid w:val="00441443"/>
    <w:rsid w:val="004418AF"/>
    <w:rsid w:val="004419A7"/>
    <w:rsid w:val="00441A49"/>
    <w:rsid w:val="00441E95"/>
    <w:rsid w:val="00442088"/>
    <w:rsid w:val="00442798"/>
    <w:rsid w:val="004433B2"/>
    <w:rsid w:val="004433C5"/>
    <w:rsid w:val="004434B1"/>
    <w:rsid w:val="004445E1"/>
    <w:rsid w:val="0044489E"/>
    <w:rsid w:val="00444BE3"/>
    <w:rsid w:val="0044511D"/>
    <w:rsid w:val="00445230"/>
    <w:rsid w:val="004455C1"/>
    <w:rsid w:val="00445746"/>
    <w:rsid w:val="004466F7"/>
    <w:rsid w:val="00450070"/>
    <w:rsid w:val="00450CE2"/>
    <w:rsid w:val="00451624"/>
    <w:rsid w:val="00451C69"/>
    <w:rsid w:val="00452333"/>
    <w:rsid w:val="004527C7"/>
    <w:rsid w:val="00453589"/>
    <w:rsid w:val="00453966"/>
    <w:rsid w:val="00453A62"/>
    <w:rsid w:val="0045431F"/>
    <w:rsid w:val="00454766"/>
    <w:rsid w:val="00454F0F"/>
    <w:rsid w:val="00455740"/>
    <w:rsid w:val="00455BB6"/>
    <w:rsid w:val="004568B7"/>
    <w:rsid w:val="00456AE1"/>
    <w:rsid w:val="004578D3"/>
    <w:rsid w:val="00457A40"/>
    <w:rsid w:val="004616B3"/>
    <w:rsid w:val="004621C5"/>
    <w:rsid w:val="004628D6"/>
    <w:rsid w:val="00462F23"/>
    <w:rsid w:val="004631DC"/>
    <w:rsid w:val="00463256"/>
    <w:rsid w:val="004632A3"/>
    <w:rsid w:val="004634FC"/>
    <w:rsid w:val="0046395D"/>
    <w:rsid w:val="00463A30"/>
    <w:rsid w:val="00463B29"/>
    <w:rsid w:val="0046426C"/>
    <w:rsid w:val="004644FF"/>
    <w:rsid w:val="00464837"/>
    <w:rsid w:val="00464DE6"/>
    <w:rsid w:val="0046518C"/>
    <w:rsid w:val="004652D7"/>
    <w:rsid w:val="00465D1F"/>
    <w:rsid w:val="00467225"/>
    <w:rsid w:val="004674E5"/>
    <w:rsid w:val="00467B25"/>
    <w:rsid w:val="00467F4F"/>
    <w:rsid w:val="00470E6C"/>
    <w:rsid w:val="004711BE"/>
    <w:rsid w:val="0047137E"/>
    <w:rsid w:val="004715FE"/>
    <w:rsid w:val="00471C73"/>
    <w:rsid w:val="00472230"/>
    <w:rsid w:val="0047264D"/>
    <w:rsid w:val="0047291A"/>
    <w:rsid w:val="0047412C"/>
    <w:rsid w:val="0047440D"/>
    <w:rsid w:val="00474F2E"/>
    <w:rsid w:val="004750C5"/>
    <w:rsid w:val="004755BD"/>
    <w:rsid w:val="00475B5A"/>
    <w:rsid w:val="00475CD4"/>
    <w:rsid w:val="0047727D"/>
    <w:rsid w:val="004772CE"/>
    <w:rsid w:val="004779E0"/>
    <w:rsid w:val="004803ED"/>
    <w:rsid w:val="00480491"/>
    <w:rsid w:val="00480626"/>
    <w:rsid w:val="00481194"/>
    <w:rsid w:val="00481439"/>
    <w:rsid w:val="004815C3"/>
    <w:rsid w:val="00481B4D"/>
    <w:rsid w:val="00481CA3"/>
    <w:rsid w:val="00481EA6"/>
    <w:rsid w:val="004825F8"/>
    <w:rsid w:val="00482CB1"/>
    <w:rsid w:val="00483BD3"/>
    <w:rsid w:val="00484186"/>
    <w:rsid w:val="004842FF"/>
    <w:rsid w:val="00484C6D"/>
    <w:rsid w:val="0048554E"/>
    <w:rsid w:val="00485B70"/>
    <w:rsid w:val="004860B8"/>
    <w:rsid w:val="0048682E"/>
    <w:rsid w:val="00486E08"/>
    <w:rsid w:val="00487163"/>
    <w:rsid w:val="00487439"/>
    <w:rsid w:val="00487A81"/>
    <w:rsid w:val="00487CCD"/>
    <w:rsid w:val="00487FD0"/>
    <w:rsid w:val="00487FF7"/>
    <w:rsid w:val="00490857"/>
    <w:rsid w:val="004911A8"/>
    <w:rsid w:val="004913D3"/>
    <w:rsid w:val="00492165"/>
    <w:rsid w:val="00492518"/>
    <w:rsid w:val="00492C79"/>
    <w:rsid w:val="004945B8"/>
    <w:rsid w:val="0049488C"/>
    <w:rsid w:val="00494FB0"/>
    <w:rsid w:val="00495036"/>
    <w:rsid w:val="004953B9"/>
    <w:rsid w:val="00495D58"/>
    <w:rsid w:val="0049643D"/>
    <w:rsid w:val="0049687A"/>
    <w:rsid w:val="0049696A"/>
    <w:rsid w:val="00496C00"/>
    <w:rsid w:val="00496DB2"/>
    <w:rsid w:val="004976E2"/>
    <w:rsid w:val="00497AAB"/>
    <w:rsid w:val="00497BE7"/>
    <w:rsid w:val="004A06E5"/>
    <w:rsid w:val="004A1456"/>
    <w:rsid w:val="004A17C7"/>
    <w:rsid w:val="004A1807"/>
    <w:rsid w:val="004A1B87"/>
    <w:rsid w:val="004A1D08"/>
    <w:rsid w:val="004A215C"/>
    <w:rsid w:val="004A3A34"/>
    <w:rsid w:val="004A4909"/>
    <w:rsid w:val="004A4AB8"/>
    <w:rsid w:val="004A4E01"/>
    <w:rsid w:val="004A5BDF"/>
    <w:rsid w:val="004A6832"/>
    <w:rsid w:val="004A6F88"/>
    <w:rsid w:val="004A7104"/>
    <w:rsid w:val="004A77B2"/>
    <w:rsid w:val="004A7F30"/>
    <w:rsid w:val="004B158C"/>
    <w:rsid w:val="004B1675"/>
    <w:rsid w:val="004B197D"/>
    <w:rsid w:val="004B2C04"/>
    <w:rsid w:val="004B4246"/>
    <w:rsid w:val="004B4545"/>
    <w:rsid w:val="004B53C3"/>
    <w:rsid w:val="004B59FF"/>
    <w:rsid w:val="004B6ED3"/>
    <w:rsid w:val="004B6F72"/>
    <w:rsid w:val="004C0094"/>
    <w:rsid w:val="004C069B"/>
    <w:rsid w:val="004C0B12"/>
    <w:rsid w:val="004C0C76"/>
    <w:rsid w:val="004C18FF"/>
    <w:rsid w:val="004C1906"/>
    <w:rsid w:val="004C1C6F"/>
    <w:rsid w:val="004C1E77"/>
    <w:rsid w:val="004C2250"/>
    <w:rsid w:val="004C295B"/>
    <w:rsid w:val="004C296F"/>
    <w:rsid w:val="004C2A56"/>
    <w:rsid w:val="004C35B3"/>
    <w:rsid w:val="004C35FD"/>
    <w:rsid w:val="004C41DC"/>
    <w:rsid w:val="004C4B19"/>
    <w:rsid w:val="004C5045"/>
    <w:rsid w:val="004C6110"/>
    <w:rsid w:val="004C68D4"/>
    <w:rsid w:val="004C70BB"/>
    <w:rsid w:val="004C714B"/>
    <w:rsid w:val="004C7871"/>
    <w:rsid w:val="004C7A6D"/>
    <w:rsid w:val="004C7AC4"/>
    <w:rsid w:val="004C7FB9"/>
    <w:rsid w:val="004D0A7B"/>
    <w:rsid w:val="004D0C42"/>
    <w:rsid w:val="004D0CA1"/>
    <w:rsid w:val="004D2684"/>
    <w:rsid w:val="004D3391"/>
    <w:rsid w:val="004D3C93"/>
    <w:rsid w:val="004D3CC5"/>
    <w:rsid w:val="004D3D69"/>
    <w:rsid w:val="004D4ACF"/>
    <w:rsid w:val="004D4EB7"/>
    <w:rsid w:val="004D52C6"/>
    <w:rsid w:val="004D5329"/>
    <w:rsid w:val="004D537D"/>
    <w:rsid w:val="004D5E44"/>
    <w:rsid w:val="004D614B"/>
    <w:rsid w:val="004D6918"/>
    <w:rsid w:val="004D6F4B"/>
    <w:rsid w:val="004D6FEC"/>
    <w:rsid w:val="004E0168"/>
    <w:rsid w:val="004E0412"/>
    <w:rsid w:val="004E13DB"/>
    <w:rsid w:val="004E259E"/>
    <w:rsid w:val="004E3258"/>
    <w:rsid w:val="004E34AE"/>
    <w:rsid w:val="004E380E"/>
    <w:rsid w:val="004E38A5"/>
    <w:rsid w:val="004E40F1"/>
    <w:rsid w:val="004E4872"/>
    <w:rsid w:val="004E5CEF"/>
    <w:rsid w:val="004E6B7B"/>
    <w:rsid w:val="004E6BC8"/>
    <w:rsid w:val="004E6C68"/>
    <w:rsid w:val="004E78DC"/>
    <w:rsid w:val="004E7BA4"/>
    <w:rsid w:val="004F077F"/>
    <w:rsid w:val="004F0AE1"/>
    <w:rsid w:val="004F1264"/>
    <w:rsid w:val="004F1458"/>
    <w:rsid w:val="004F1A59"/>
    <w:rsid w:val="004F1C28"/>
    <w:rsid w:val="004F1E04"/>
    <w:rsid w:val="004F23A8"/>
    <w:rsid w:val="004F2813"/>
    <w:rsid w:val="004F28CA"/>
    <w:rsid w:val="004F298F"/>
    <w:rsid w:val="004F2C82"/>
    <w:rsid w:val="004F2C9B"/>
    <w:rsid w:val="004F2D14"/>
    <w:rsid w:val="004F3095"/>
    <w:rsid w:val="004F3CFE"/>
    <w:rsid w:val="004F3E0C"/>
    <w:rsid w:val="004F3E75"/>
    <w:rsid w:val="004F4033"/>
    <w:rsid w:val="004F45D4"/>
    <w:rsid w:val="004F4719"/>
    <w:rsid w:val="004F4AFD"/>
    <w:rsid w:val="004F4E13"/>
    <w:rsid w:val="004F58AB"/>
    <w:rsid w:val="004F5C8B"/>
    <w:rsid w:val="004F5FE0"/>
    <w:rsid w:val="004F6AD7"/>
    <w:rsid w:val="004F76E2"/>
    <w:rsid w:val="004F7E66"/>
    <w:rsid w:val="00500124"/>
    <w:rsid w:val="00500609"/>
    <w:rsid w:val="00500DCF"/>
    <w:rsid w:val="0050126B"/>
    <w:rsid w:val="00501947"/>
    <w:rsid w:val="00501CC4"/>
    <w:rsid w:val="005031F7"/>
    <w:rsid w:val="00503880"/>
    <w:rsid w:val="005039D8"/>
    <w:rsid w:val="005042C1"/>
    <w:rsid w:val="00504338"/>
    <w:rsid w:val="005048C6"/>
    <w:rsid w:val="00504CA0"/>
    <w:rsid w:val="0050515F"/>
    <w:rsid w:val="00505733"/>
    <w:rsid w:val="005067E2"/>
    <w:rsid w:val="00507147"/>
    <w:rsid w:val="00507E78"/>
    <w:rsid w:val="005110C4"/>
    <w:rsid w:val="005111BC"/>
    <w:rsid w:val="00511BF5"/>
    <w:rsid w:val="005120E6"/>
    <w:rsid w:val="00512858"/>
    <w:rsid w:val="00512FFE"/>
    <w:rsid w:val="00513409"/>
    <w:rsid w:val="00513C6B"/>
    <w:rsid w:val="0051432F"/>
    <w:rsid w:val="0051435F"/>
    <w:rsid w:val="0051497A"/>
    <w:rsid w:val="0051517C"/>
    <w:rsid w:val="00515CEB"/>
    <w:rsid w:val="0051612C"/>
    <w:rsid w:val="00516888"/>
    <w:rsid w:val="00516977"/>
    <w:rsid w:val="00517A2C"/>
    <w:rsid w:val="00517D8A"/>
    <w:rsid w:val="005204BB"/>
    <w:rsid w:val="00520A43"/>
    <w:rsid w:val="00520B40"/>
    <w:rsid w:val="00520CB2"/>
    <w:rsid w:val="005214DF"/>
    <w:rsid w:val="005218B5"/>
    <w:rsid w:val="00521937"/>
    <w:rsid w:val="00521E79"/>
    <w:rsid w:val="0052300A"/>
    <w:rsid w:val="005240F7"/>
    <w:rsid w:val="005241F5"/>
    <w:rsid w:val="005248ED"/>
    <w:rsid w:val="00524A9B"/>
    <w:rsid w:val="00524AAD"/>
    <w:rsid w:val="005253E2"/>
    <w:rsid w:val="00525BC0"/>
    <w:rsid w:val="00526841"/>
    <w:rsid w:val="0052691D"/>
    <w:rsid w:val="005270F6"/>
    <w:rsid w:val="005271CC"/>
    <w:rsid w:val="00527201"/>
    <w:rsid w:val="00527A8E"/>
    <w:rsid w:val="00527E7F"/>
    <w:rsid w:val="00527FDB"/>
    <w:rsid w:val="00530729"/>
    <w:rsid w:val="00530A37"/>
    <w:rsid w:val="00530AC9"/>
    <w:rsid w:val="00530B54"/>
    <w:rsid w:val="00530BD8"/>
    <w:rsid w:val="00532033"/>
    <w:rsid w:val="00532528"/>
    <w:rsid w:val="00532550"/>
    <w:rsid w:val="0053267F"/>
    <w:rsid w:val="005329CD"/>
    <w:rsid w:val="005341B6"/>
    <w:rsid w:val="00534694"/>
    <w:rsid w:val="00534832"/>
    <w:rsid w:val="00534AF9"/>
    <w:rsid w:val="00534ED3"/>
    <w:rsid w:val="0053507E"/>
    <w:rsid w:val="00535D2E"/>
    <w:rsid w:val="00536896"/>
    <w:rsid w:val="005371BE"/>
    <w:rsid w:val="00537518"/>
    <w:rsid w:val="005377A9"/>
    <w:rsid w:val="00537B99"/>
    <w:rsid w:val="00537ECD"/>
    <w:rsid w:val="00540083"/>
    <w:rsid w:val="0054019C"/>
    <w:rsid w:val="00541A86"/>
    <w:rsid w:val="00542FCF"/>
    <w:rsid w:val="00543DA5"/>
    <w:rsid w:val="00543F6B"/>
    <w:rsid w:val="0054445F"/>
    <w:rsid w:val="00544791"/>
    <w:rsid w:val="0054491B"/>
    <w:rsid w:val="00544CE8"/>
    <w:rsid w:val="005457AE"/>
    <w:rsid w:val="00546C02"/>
    <w:rsid w:val="00547CBC"/>
    <w:rsid w:val="0055007B"/>
    <w:rsid w:val="005501AA"/>
    <w:rsid w:val="00550E1E"/>
    <w:rsid w:val="005510EB"/>
    <w:rsid w:val="00551581"/>
    <w:rsid w:val="005515BA"/>
    <w:rsid w:val="005516F7"/>
    <w:rsid w:val="0055207C"/>
    <w:rsid w:val="005528AE"/>
    <w:rsid w:val="00552D7D"/>
    <w:rsid w:val="0055418B"/>
    <w:rsid w:val="00554F6D"/>
    <w:rsid w:val="00554F7D"/>
    <w:rsid w:val="0055626B"/>
    <w:rsid w:val="00556BFE"/>
    <w:rsid w:val="00557C3F"/>
    <w:rsid w:val="005617EE"/>
    <w:rsid w:val="005626CD"/>
    <w:rsid w:val="00562A5C"/>
    <w:rsid w:val="00562CB2"/>
    <w:rsid w:val="00562D53"/>
    <w:rsid w:val="005640EC"/>
    <w:rsid w:val="005641B0"/>
    <w:rsid w:val="00565598"/>
    <w:rsid w:val="00565A73"/>
    <w:rsid w:val="0056608F"/>
    <w:rsid w:val="00566148"/>
    <w:rsid w:val="005665CA"/>
    <w:rsid w:val="00566BCD"/>
    <w:rsid w:val="00567303"/>
    <w:rsid w:val="005675AF"/>
    <w:rsid w:val="00567604"/>
    <w:rsid w:val="005676ED"/>
    <w:rsid w:val="00567820"/>
    <w:rsid w:val="00567E8C"/>
    <w:rsid w:val="00570441"/>
    <w:rsid w:val="005704D2"/>
    <w:rsid w:val="00570C53"/>
    <w:rsid w:val="0057116E"/>
    <w:rsid w:val="00571929"/>
    <w:rsid w:val="00571FC5"/>
    <w:rsid w:val="0057229C"/>
    <w:rsid w:val="005727F5"/>
    <w:rsid w:val="005744FA"/>
    <w:rsid w:val="005754C5"/>
    <w:rsid w:val="00575C84"/>
    <w:rsid w:val="0057611B"/>
    <w:rsid w:val="0057621D"/>
    <w:rsid w:val="005768F7"/>
    <w:rsid w:val="00576A60"/>
    <w:rsid w:val="00576B27"/>
    <w:rsid w:val="00576D5C"/>
    <w:rsid w:val="00576E34"/>
    <w:rsid w:val="00577039"/>
    <w:rsid w:val="00577249"/>
    <w:rsid w:val="0057735A"/>
    <w:rsid w:val="00577558"/>
    <w:rsid w:val="00577BAE"/>
    <w:rsid w:val="00581F4B"/>
    <w:rsid w:val="00582083"/>
    <w:rsid w:val="00582842"/>
    <w:rsid w:val="00582CCC"/>
    <w:rsid w:val="00583282"/>
    <w:rsid w:val="005838E3"/>
    <w:rsid w:val="0058548E"/>
    <w:rsid w:val="00586A73"/>
    <w:rsid w:val="00586AF7"/>
    <w:rsid w:val="00587126"/>
    <w:rsid w:val="00587743"/>
    <w:rsid w:val="00587969"/>
    <w:rsid w:val="00587B98"/>
    <w:rsid w:val="005900D0"/>
    <w:rsid w:val="00590731"/>
    <w:rsid w:val="0059160F"/>
    <w:rsid w:val="00591FC7"/>
    <w:rsid w:val="00592846"/>
    <w:rsid w:val="005929D6"/>
    <w:rsid w:val="00592D57"/>
    <w:rsid w:val="005932AF"/>
    <w:rsid w:val="005945D4"/>
    <w:rsid w:val="0059474D"/>
    <w:rsid w:val="00594839"/>
    <w:rsid w:val="00594EEF"/>
    <w:rsid w:val="005952D6"/>
    <w:rsid w:val="00596983"/>
    <w:rsid w:val="00597092"/>
    <w:rsid w:val="00597DF2"/>
    <w:rsid w:val="00597E82"/>
    <w:rsid w:val="005A0B34"/>
    <w:rsid w:val="005A1202"/>
    <w:rsid w:val="005A168B"/>
    <w:rsid w:val="005A178F"/>
    <w:rsid w:val="005A1AF4"/>
    <w:rsid w:val="005A1D8A"/>
    <w:rsid w:val="005A31C9"/>
    <w:rsid w:val="005A3BDA"/>
    <w:rsid w:val="005A3C13"/>
    <w:rsid w:val="005A3D75"/>
    <w:rsid w:val="005A5EA2"/>
    <w:rsid w:val="005A6271"/>
    <w:rsid w:val="005A7B6E"/>
    <w:rsid w:val="005B083A"/>
    <w:rsid w:val="005B12FC"/>
    <w:rsid w:val="005B1949"/>
    <w:rsid w:val="005B1F08"/>
    <w:rsid w:val="005B2002"/>
    <w:rsid w:val="005B2F7F"/>
    <w:rsid w:val="005B3494"/>
    <w:rsid w:val="005B3B8F"/>
    <w:rsid w:val="005B4115"/>
    <w:rsid w:val="005B4125"/>
    <w:rsid w:val="005B41DA"/>
    <w:rsid w:val="005B5983"/>
    <w:rsid w:val="005B6B4B"/>
    <w:rsid w:val="005C0127"/>
    <w:rsid w:val="005C1078"/>
    <w:rsid w:val="005C1CEC"/>
    <w:rsid w:val="005C3B1E"/>
    <w:rsid w:val="005C4C65"/>
    <w:rsid w:val="005C4DF9"/>
    <w:rsid w:val="005C50B1"/>
    <w:rsid w:val="005C5667"/>
    <w:rsid w:val="005C5734"/>
    <w:rsid w:val="005C6094"/>
    <w:rsid w:val="005C60F1"/>
    <w:rsid w:val="005C6238"/>
    <w:rsid w:val="005C6D8A"/>
    <w:rsid w:val="005C6E83"/>
    <w:rsid w:val="005C701C"/>
    <w:rsid w:val="005C747D"/>
    <w:rsid w:val="005D014A"/>
    <w:rsid w:val="005D070A"/>
    <w:rsid w:val="005D0F08"/>
    <w:rsid w:val="005D1926"/>
    <w:rsid w:val="005D198B"/>
    <w:rsid w:val="005D2112"/>
    <w:rsid w:val="005D2628"/>
    <w:rsid w:val="005D2927"/>
    <w:rsid w:val="005D2ADA"/>
    <w:rsid w:val="005D2D67"/>
    <w:rsid w:val="005D3A40"/>
    <w:rsid w:val="005D3C07"/>
    <w:rsid w:val="005D401C"/>
    <w:rsid w:val="005D4BBF"/>
    <w:rsid w:val="005D4D1A"/>
    <w:rsid w:val="005D4F32"/>
    <w:rsid w:val="005D5933"/>
    <w:rsid w:val="005D5F21"/>
    <w:rsid w:val="005D68DD"/>
    <w:rsid w:val="005D76DF"/>
    <w:rsid w:val="005D7963"/>
    <w:rsid w:val="005D7EAE"/>
    <w:rsid w:val="005E0040"/>
    <w:rsid w:val="005E0235"/>
    <w:rsid w:val="005E03F7"/>
    <w:rsid w:val="005E0612"/>
    <w:rsid w:val="005E0846"/>
    <w:rsid w:val="005E1089"/>
    <w:rsid w:val="005E10FA"/>
    <w:rsid w:val="005E161B"/>
    <w:rsid w:val="005E20B0"/>
    <w:rsid w:val="005E21EB"/>
    <w:rsid w:val="005E28C4"/>
    <w:rsid w:val="005E31DD"/>
    <w:rsid w:val="005E40CF"/>
    <w:rsid w:val="005E50C7"/>
    <w:rsid w:val="005E5D3D"/>
    <w:rsid w:val="005E5F0B"/>
    <w:rsid w:val="005E5F8B"/>
    <w:rsid w:val="005E6268"/>
    <w:rsid w:val="005E6AC1"/>
    <w:rsid w:val="005E6FB3"/>
    <w:rsid w:val="005E77D6"/>
    <w:rsid w:val="005E7E05"/>
    <w:rsid w:val="005F042C"/>
    <w:rsid w:val="005F233D"/>
    <w:rsid w:val="005F2BBC"/>
    <w:rsid w:val="005F3109"/>
    <w:rsid w:val="005F3CDF"/>
    <w:rsid w:val="005F42F9"/>
    <w:rsid w:val="005F4767"/>
    <w:rsid w:val="005F4985"/>
    <w:rsid w:val="005F4E51"/>
    <w:rsid w:val="005F5296"/>
    <w:rsid w:val="005F5D8D"/>
    <w:rsid w:val="005F5FA0"/>
    <w:rsid w:val="005F6A46"/>
    <w:rsid w:val="005F7C56"/>
    <w:rsid w:val="005F7DB4"/>
    <w:rsid w:val="005F7E1D"/>
    <w:rsid w:val="0060007B"/>
    <w:rsid w:val="006001B1"/>
    <w:rsid w:val="0060115F"/>
    <w:rsid w:val="006017D4"/>
    <w:rsid w:val="00601A20"/>
    <w:rsid w:val="00601BE9"/>
    <w:rsid w:val="00601EDF"/>
    <w:rsid w:val="00602483"/>
    <w:rsid w:val="0060371D"/>
    <w:rsid w:val="00603C62"/>
    <w:rsid w:val="00603DC2"/>
    <w:rsid w:val="00604066"/>
    <w:rsid w:val="0060588E"/>
    <w:rsid w:val="00605D46"/>
    <w:rsid w:val="00605D72"/>
    <w:rsid w:val="006062DC"/>
    <w:rsid w:val="00606369"/>
    <w:rsid w:val="00606553"/>
    <w:rsid w:val="00606B93"/>
    <w:rsid w:val="00607007"/>
    <w:rsid w:val="006072AB"/>
    <w:rsid w:val="00607BAE"/>
    <w:rsid w:val="006109D5"/>
    <w:rsid w:val="00611572"/>
    <w:rsid w:val="006117C3"/>
    <w:rsid w:val="00612E5E"/>
    <w:rsid w:val="00612FBA"/>
    <w:rsid w:val="0061467F"/>
    <w:rsid w:val="00614CCA"/>
    <w:rsid w:val="00615454"/>
    <w:rsid w:val="0061586E"/>
    <w:rsid w:val="00615A57"/>
    <w:rsid w:val="00615E87"/>
    <w:rsid w:val="00616148"/>
    <w:rsid w:val="00616284"/>
    <w:rsid w:val="00616539"/>
    <w:rsid w:val="0061701E"/>
    <w:rsid w:val="0061729D"/>
    <w:rsid w:val="00617510"/>
    <w:rsid w:val="00617D46"/>
    <w:rsid w:val="006204BF"/>
    <w:rsid w:val="006204E2"/>
    <w:rsid w:val="00620A32"/>
    <w:rsid w:val="006214E0"/>
    <w:rsid w:val="00621692"/>
    <w:rsid w:val="00621F61"/>
    <w:rsid w:val="00622846"/>
    <w:rsid w:val="00623347"/>
    <w:rsid w:val="00624489"/>
    <w:rsid w:val="00625AC0"/>
    <w:rsid w:val="00625AC2"/>
    <w:rsid w:val="00625F1D"/>
    <w:rsid w:val="00626DF4"/>
    <w:rsid w:val="00627085"/>
    <w:rsid w:val="00627609"/>
    <w:rsid w:val="00627B24"/>
    <w:rsid w:val="00630181"/>
    <w:rsid w:val="0063066B"/>
    <w:rsid w:val="00630D77"/>
    <w:rsid w:val="00631206"/>
    <w:rsid w:val="00631513"/>
    <w:rsid w:val="00631754"/>
    <w:rsid w:val="00631937"/>
    <w:rsid w:val="00631F69"/>
    <w:rsid w:val="00632306"/>
    <w:rsid w:val="006328D3"/>
    <w:rsid w:val="0063292B"/>
    <w:rsid w:val="00632FE4"/>
    <w:rsid w:val="00633C04"/>
    <w:rsid w:val="006341DB"/>
    <w:rsid w:val="006348F1"/>
    <w:rsid w:val="006349AC"/>
    <w:rsid w:val="006350BA"/>
    <w:rsid w:val="0063588F"/>
    <w:rsid w:val="006359E7"/>
    <w:rsid w:val="00635DF4"/>
    <w:rsid w:val="006369CE"/>
    <w:rsid w:val="00636C93"/>
    <w:rsid w:val="00636F77"/>
    <w:rsid w:val="006370CA"/>
    <w:rsid w:val="006376FE"/>
    <w:rsid w:val="00640D53"/>
    <w:rsid w:val="0064137A"/>
    <w:rsid w:val="0064182E"/>
    <w:rsid w:val="006418BB"/>
    <w:rsid w:val="00641E13"/>
    <w:rsid w:val="006422C3"/>
    <w:rsid w:val="00642382"/>
    <w:rsid w:val="006423AB"/>
    <w:rsid w:val="006426B3"/>
    <w:rsid w:val="00642C5C"/>
    <w:rsid w:val="0064313D"/>
    <w:rsid w:val="006438D3"/>
    <w:rsid w:val="00643AE9"/>
    <w:rsid w:val="0064416C"/>
    <w:rsid w:val="0064423E"/>
    <w:rsid w:val="006442CA"/>
    <w:rsid w:val="00644384"/>
    <w:rsid w:val="00644385"/>
    <w:rsid w:val="00645CEE"/>
    <w:rsid w:val="00646C4A"/>
    <w:rsid w:val="00646F4A"/>
    <w:rsid w:val="00647281"/>
    <w:rsid w:val="006506CC"/>
    <w:rsid w:val="00650B39"/>
    <w:rsid w:val="006519D5"/>
    <w:rsid w:val="00651B7A"/>
    <w:rsid w:val="00652D8F"/>
    <w:rsid w:val="00652EB7"/>
    <w:rsid w:val="00653A73"/>
    <w:rsid w:val="00653B4A"/>
    <w:rsid w:val="00653C1B"/>
    <w:rsid w:val="00653CD2"/>
    <w:rsid w:val="00653FBA"/>
    <w:rsid w:val="006541FE"/>
    <w:rsid w:val="006549EA"/>
    <w:rsid w:val="00655EAB"/>
    <w:rsid w:val="00656771"/>
    <w:rsid w:val="00656783"/>
    <w:rsid w:val="006571E4"/>
    <w:rsid w:val="006572E4"/>
    <w:rsid w:val="0065739C"/>
    <w:rsid w:val="00657687"/>
    <w:rsid w:val="00657F53"/>
    <w:rsid w:val="006603DB"/>
    <w:rsid w:val="00660883"/>
    <w:rsid w:val="00660E52"/>
    <w:rsid w:val="0066105D"/>
    <w:rsid w:val="006610AD"/>
    <w:rsid w:val="006611A3"/>
    <w:rsid w:val="0066129F"/>
    <w:rsid w:val="00662BC4"/>
    <w:rsid w:val="00663FAD"/>
    <w:rsid w:val="006642FF"/>
    <w:rsid w:val="00664AED"/>
    <w:rsid w:val="0066510C"/>
    <w:rsid w:val="00665671"/>
    <w:rsid w:val="006667AF"/>
    <w:rsid w:val="00667625"/>
    <w:rsid w:val="00667A34"/>
    <w:rsid w:val="00667D6E"/>
    <w:rsid w:val="00670F54"/>
    <w:rsid w:val="00671983"/>
    <w:rsid w:val="006722E2"/>
    <w:rsid w:val="00672585"/>
    <w:rsid w:val="00672F35"/>
    <w:rsid w:val="00672FDF"/>
    <w:rsid w:val="00673F48"/>
    <w:rsid w:val="00674469"/>
    <w:rsid w:val="0067474E"/>
    <w:rsid w:val="006747C1"/>
    <w:rsid w:val="006747D6"/>
    <w:rsid w:val="0067497E"/>
    <w:rsid w:val="00674CFD"/>
    <w:rsid w:val="00675202"/>
    <w:rsid w:val="00675C1D"/>
    <w:rsid w:val="006763A4"/>
    <w:rsid w:val="006763F7"/>
    <w:rsid w:val="006772D0"/>
    <w:rsid w:val="00677AFD"/>
    <w:rsid w:val="006806C0"/>
    <w:rsid w:val="0068193C"/>
    <w:rsid w:val="00682355"/>
    <w:rsid w:val="006829AC"/>
    <w:rsid w:val="00682DDB"/>
    <w:rsid w:val="0068378D"/>
    <w:rsid w:val="00683C3E"/>
    <w:rsid w:val="00683D12"/>
    <w:rsid w:val="00684E16"/>
    <w:rsid w:val="00684EFA"/>
    <w:rsid w:val="006852D8"/>
    <w:rsid w:val="00685E75"/>
    <w:rsid w:val="00685FDD"/>
    <w:rsid w:val="006863EE"/>
    <w:rsid w:val="006872E5"/>
    <w:rsid w:val="006873B1"/>
    <w:rsid w:val="00687501"/>
    <w:rsid w:val="006877D6"/>
    <w:rsid w:val="006901C6"/>
    <w:rsid w:val="00690A62"/>
    <w:rsid w:val="00690DB9"/>
    <w:rsid w:val="0069159B"/>
    <w:rsid w:val="0069199E"/>
    <w:rsid w:val="00691B75"/>
    <w:rsid w:val="00692279"/>
    <w:rsid w:val="00692B2F"/>
    <w:rsid w:val="00692CF9"/>
    <w:rsid w:val="00692FE2"/>
    <w:rsid w:val="006930F5"/>
    <w:rsid w:val="0069323F"/>
    <w:rsid w:val="00693C27"/>
    <w:rsid w:val="00694495"/>
    <w:rsid w:val="006945A0"/>
    <w:rsid w:val="006945F7"/>
    <w:rsid w:val="006946A7"/>
    <w:rsid w:val="006946D9"/>
    <w:rsid w:val="00694D5E"/>
    <w:rsid w:val="00694DDE"/>
    <w:rsid w:val="0069521A"/>
    <w:rsid w:val="006959D0"/>
    <w:rsid w:val="00695DF2"/>
    <w:rsid w:val="00695E0C"/>
    <w:rsid w:val="006968C9"/>
    <w:rsid w:val="00696B76"/>
    <w:rsid w:val="00696C07"/>
    <w:rsid w:val="006A056B"/>
    <w:rsid w:val="006A07BD"/>
    <w:rsid w:val="006A0B7A"/>
    <w:rsid w:val="006A237D"/>
    <w:rsid w:val="006A238B"/>
    <w:rsid w:val="006A2849"/>
    <w:rsid w:val="006A2A26"/>
    <w:rsid w:val="006A2EE5"/>
    <w:rsid w:val="006A35C5"/>
    <w:rsid w:val="006A3972"/>
    <w:rsid w:val="006A4250"/>
    <w:rsid w:val="006A5E84"/>
    <w:rsid w:val="006A6102"/>
    <w:rsid w:val="006A64A1"/>
    <w:rsid w:val="006A6690"/>
    <w:rsid w:val="006A6802"/>
    <w:rsid w:val="006A768F"/>
    <w:rsid w:val="006A779D"/>
    <w:rsid w:val="006A7F8C"/>
    <w:rsid w:val="006B0388"/>
    <w:rsid w:val="006B0752"/>
    <w:rsid w:val="006B19A7"/>
    <w:rsid w:val="006B2017"/>
    <w:rsid w:val="006B25A0"/>
    <w:rsid w:val="006B26B6"/>
    <w:rsid w:val="006B2BD9"/>
    <w:rsid w:val="006B30FD"/>
    <w:rsid w:val="006B33A4"/>
    <w:rsid w:val="006B3787"/>
    <w:rsid w:val="006B397F"/>
    <w:rsid w:val="006B3EF8"/>
    <w:rsid w:val="006B3FCD"/>
    <w:rsid w:val="006B525D"/>
    <w:rsid w:val="006B5EF7"/>
    <w:rsid w:val="006B6228"/>
    <w:rsid w:val="006B6ABB"/>
    <w:rsid w:val="006C027A"/>
    <w:rsid w:val="006C0F0B"/>
    <w:rsid w:val="006C1505"/>
    <w:rsid w:val="006C1A47"/>
    <w:rsid w:val="006C1ACE"/>
    <w:rsid w:val="006C1AFF"/>
    <w:rsid w:val="006C1E2F"/>
    <w:rsid w:val="006C2613"/>
    <w:rsid w:val="006C2E6E"/>
    <w:rsid w:val="006C3582"/>
    <w:rsid w:val="006C458F"/>
    <w:rsid w:val="006C47BE"/>
    <w:rsid w:val="006C5765"/>
    <w:rsid w:val="006C6098"/>
    <w:rsid w:val="006C6432"/>
    <w:rsid w:val="006C6722"/>
    <w:rsid w:val="006C6C36"/>
    <w:rsid w:val="006C71C8"/>
    <w:rsid w:val="006C736D"/>
    <w:rsid w:val="006C7864"/>
    <w:rsid w:val="006C7CDA"/>
    <w:rsid w:val="006D0457"/>
    <w:rsid w:val="006D0559"/>
    <w:rsid w:val="006D1A2D"/>
    <w:rsid w:val="006D1C47"/>
    <w:rsid w:val="006D2609"/>
    <w:rsid w:val="006D2E3F"/>
    <w:rsid w:val="006D36C2"/>
    <w:rsid w:val="006D3839"/>
    <w:rsid w:val="006D387B"/>
    <w:rsid w:val="006D3B65"/>
    <w:rsid w:val="006D3C6D"/>
    <w:rsid w:val="006D3DC2"/>
    <w:rsid w:val="006D43D4"/>
    <w:rsid w:val="006D447E"/>
    <w:rsid w:val="006D580C"/>
    <w:rsid w:val="006D61AF"/>
    <w:rsid w:val="006D693A"/>
    <w:rsid w:val="006D6F8F"/>
    <w:rsid w:val="006D6F9D"/>
    <w:rsid w:val="006D7211"/>
    <w:rsid w:val="006D741B"/>
    <w:rsid w:val="006D743D"/>
    <w:rsid w:val="006E0C7E"/>
    <w:rsid w:val="006E115F"/>
    <w:rsid w:val="006E1754"/>
    <w:rsid w:val="006E179A"/>
    <w:rsid w:val="006E1AB4"/>
    <w:rsid w:val="006E2842"/>
    <w:rsid w:val="006E377E"/>
    <w:rsid w:val="006E3D19"/>
    <w:rsid w:val="006E3E5E"/>
    <w:rsid w:val="006E442B"/>
    <w:rsid w:val="006E4592"/>
    <w:rsid w:val="006E4E28"/>
    <w:rsid w:val="006E5568"/>
    <w:rsid w:val="006E5944"/>
    <w:rsid w:val="006E5F17"/>
    <w:rsid w:val="006E6D0F"/>
    <w:rsid w:val="006E6E73"/>
    <w:rsid w:val="006E7016"/>
    <w:rsid w:val="006E7121"/>
    <w:rsid w:val="006E72BD"/>
    <w:rsid w:val="006E735B"/>
    <w:rsid w:val="006E75A7"/>
    <w:rsid w:val="006E7975"/>
    <w:rsid w:val="006E7ACA"/>
    <w:rsid w:val="006F00B3"/>
    <w:rsid w:val="006F05E2"/>
    <w:rsid w:val="006F092A"/>
    <w:rsid w:val="006F0DC3"/>
    <w:rsid w:val="006F1013"/>
    <w:rsid w:val="006F17FD"/>
    <w:rsid w:val="006F1D15"/>
    <w:rsid w:val="006F1F42"/>
    <w:rsid w:val="006F2002"/>
    <w:rsid w:val="006F2531"/>
    <w:rsid w:val="006F2729"/>
    <w:rsid w:val="006F2906"/>
    <w:rsid w:val="006F2DE7"/>
    <w:rsid w:val="006F2E44"/>
    <w:rsid w:val="006F3429"/>
    <w:rsid w:val="006F3526"/>
    <w:rsid w:val="006F3AFE"/>
    <w:rsid w:val="006F4574"/>
    <w:rsid w:val="006F487A"/>
    <w:rsid w:val="006F48A5"/>
    <w:rsid w:val="006F4B07"/>
    <w:rsid w:val="006F4E54"/>
    <w:rsid w:val="006F4F0D"/>
    <w:rsid w:val="006F5E99"/>
    <w:rsid w:val="006F6632"/>
    <w:rsid w:val="006F66E0"/>
    <w:rsid w:val="006F6750"/>
    <w:rsid w:val="006F69EA"/>
    <w:rsid w:val="006F6D08"/>
    <w:rsid w:val="006F74F4"/>
    <w:rsid w:val="006F7FBB"/>
    <w:rsid w:val="0070043B"/>
    <w:rsid w:val="0070099B"/>
    <w:rsid w:val="00700B87"/>
    <w:rsid w:val="00700C67"/>
    <w:rsid w:val="007034EA"/>
    <w:rsid w:val="00703D5E"/>
    <w:rsid w:val="0070449A"/>
    <w:rsid w:val="007044A6"/>
    <w:rsid w:val="00704729"/>
    <w:rsid w:val="007047FE"/>
    <w:rsid w:val="00705045"/>
    <w:rsid w:val="00705841"/>
    <w:rsid w:val="00706D9D"/>
    <w:rsid w:val="0070715E"/>
    <w:rsid w:val="00707658"/>
    <w:rsid w:val="007076CB"/>
    <w:rsid w:val="00710174"/>
    <w:rsid w:val="007101AF"/>
    <w:rsid w:val="007101EC"/>
    <w:rsid w:val="007108C3"/>
    <w:rsid w:val="00710B00"/>
    <w:rsid w:val="00710E89"/>
    <w:rsid w:val="007116A1"/>
    <w:rsid w:val="007117F6"/>
    <w:rsid w:val="0071180F"/>
    <w:rsid w:val="007126B2"/>
    <w:rsid w:val="00712F3C"/>
    <w:rsid w:val="00713169"/>
    <w:rsid w:val="007139C6"/>
    <w:rsid w:val="0071402E"/>
    <w:rsid w:val="00714C4F"/>
    <w:rsid w:val="00715507"/>
    <w:rsid w:val="007156C6"/>
    <w:rsid w:val="00715818"/>
    <w:rsid w:val="00715F5A"/>
    <w:rsid w:val="00715F65"/>
    <w:rsid w:val="007166A2"/>
    <w:rsid w:val="00716B77"/>
    <w:rsid w:val="0071753F"/>
    <w:rsid w:val="007202AC"/>
    <w:rsid w:val="0072071F"/>
    <w:rsid w:val="007207A9"/>
    <w:rsid w:val="007208A9"/>
    <w:rsid w:val="00720A55"/>
    <w:rsid w:val="00721203"/>
    <w:rsid w:val="007216ED"/>
    <w:rsid w:val="00723010"/>
    <w:rsid w:val="00723080"/>
    <w:rsid w:val="00723872"/>
    <w:rsid w:val="00723BC6"/>
    <w:rsid w:val="0072456C"/>
    <w:rsid w:val="00724CAA"/>
    <w:rsid w:val="00724D49"/>
    <w:rsid w:val="00725BBB"/>
    <w:rsid w:val="00726078"/>
    <w:rsid w:val="0072647A"/>
    <w:rsid w:val="007268D5"/>
    <w:rsid w:val="00726AAA"/>
    <w:rsid w:val="00726E38"/>
    <w:rsid w:val="00727E7D"/>
    <w:rsid w:val="00730313"/>
    <w:rsid w:val="00730619"/>
    <w:rsid w:val="00731972"/>
    <w:rsid w:val="007319D7"/>
    <w:rsid w:val="00731C3D"/>
    <w:rsid w:val="00732B34"/>
    <w:rsid w:val="007332A9"/>
    <w:rsid w:val="00733AE3"/>
    <w:rsid w:val="00733F7A"/>
    <w:rsid w:val="00734075"/>
    <w:rsid w:val="0073474B"/>
    <w:rsid w:val="007349B6"/>
    <w:rsid w:val="00734CA5"/>
    <w:rsid w:val="00734D0E"/>
    <w:rsid w:val="007352F9"/>
    <w:rsid w:val="007356F8"/>
    <w:rsid w:val="00735870"/>
    <w:rsid w:val="007358D2"/>
    <w:rsid w:val="00736D90"/>
    <w:rsid w:val="00737169"/>
    <w:rsid w:val="00737D1F"/>
    <w:rsid w:val="00740B81"/>
    <w:rsid w:val="007417DD"/>
    <w:rsid w:val="00741943"/>
    <w:rsid w:val="00742184"/>
    <w:rsid w:val="00742338"/>
    <w:rsid w:val="0074259C"/>
    <w:rsid w:val="00742FF1"/>
    <w:rsid w:val="00743392"/>
    <w:rsid w:val="00743754"/>
    <w:rsid w:val="00743801"/>
    <w:rsid w:val="007449A5"/>
    <w:rsid w:val="00745989"/>
    <w:rsid w:val="00746E25"/>
    <w:rsid w:val="00747BB7"/>
    <w:rsid w:val="00747BF8"/>
    <w:rsid w:val="00750BEB"/>
    <w:rsid w:val="0075120A"/>
    <w:rsid w:val="00751F1A"/>
    <w:rsid w:val="0075231D"/>
    <w:rsid w:val="00752394"/>
    <w:rsid w:val="00752480"/>
    <w:rsid w:val="0075362F"/>
    <w:rsid w:val="007539E2"/>
    <w:rsid w:val="00753DE9"/>
    <w:rsid w:val="00754322"/>
    <w:rsid w:val="0075482F"/>
    <w:rsid w:val="00755C38"/>
    <w:rsid w:val="00755EF6"/>
    <w:rsid w:val="00756143"/>
    <w:rsid w:val="0075636A"/>
    <w:rsid w:val="00756421"/>
    <w:rsid w:val="00756664"/>
    <w:rsid w:val="007568A3"/>
    <w:rsid w:val="007569C0"/>
    <w:rsid w:val="007574F7"/>
    <w:rsid w:val="00757D5E"/>
    <w:rsid w:val="0076034A"/>
    <w:rsid w:val="0076041E"/>
    <w:rsid w:val="00760421"/>
    <w:rsid w:val="0076050F"/>
    <w:rsid w:val="00760A5B"/>
    <w:rsid w:val="00761806"/>
    <w:rsid w:val="00761D98"/>
    <w:rsid w:val="00761EA1"/>
    <w:rsid w:val="007626BC"/>
    <w:rsid w:val="00762AEC"/>
    <w:rsid w:val="00762EC7"/>
    <w:rsid w:val="00762FB4"/>
    <w:rsid w:val="00763028"/>
    <w:rsid w:val="00763492"/>
    <w:rsid w:val="007638A5"/>
    <w:rsid w:val="0076433F"/>
    <w:rsid w:val="0076443D"/>
    <w:rsid w:val="007652BC"/>
    <w:rsid w:val="00766811"/>
    <w:rsid w:val="0076683A"/>
    <w:rsid w:val="00766A02"/>
    <w:rsid w:val="00766D2E"/>
    <w:rsid w:val="00767BBC"/>
    <w:rsid w:val="00767F39"/>
    <w:rsid w:val="00770487"/>
    <w:rsid w:val="00770D9D"/>
    <w:rsid w:val="0077102F"/>
    <w:rsid w:val="00771667"/>
    <w:rsid w:val="007716B9"/>
    <w:rsid w:val="007717CB"/>
    <w:rsid w:val="00771978"/>
    <w:rsid w:val="0077248D"/>
    <w:rsid w:val="00772696"/>
    <w:rsid w:val="00772C98"/>
    <w:rsid w:val="0077388A"/>
    <w:rsid w:val="00774825"/>
    <w:rsid w:val="00774989"/>
    <w:rsid w:val="0077567F"/>
    <w:rsid w:val="00775D7D"/>
    <w:rsid w:val="00776890"/>
    <w:rsid w:val="007776CF"/>
    <w:rsid w:val="00780506"/>
    <w:rsid w:val="00780597"/>
    <w:rsid w:val="007808C2"/>
    <w:rsid w:val="00780E3B"/>
    <w:rsid w:val="00780EA7"/>
    <w:rsid w:val="0078184D"/>
    <w:rsid w:val="0078193A"/>
    <w:rsid w:val="00782050"/>
    <w:rsid w:val="00782800"/>
    <w:rsid w:val="00782C47"/>
    <w:rsid w:val="00783343"/>
    <w:rsid w:val="0078335B"/>
    <w:rsid w:val="00783988"/>
    <w:rsid w:val="00783BAC"/>
    <w:rsid w:val="00783FEE"/>
    <w:rsid w:val="007841CD"/>
    <w:rsid w:val="00785276"/>
    <w:rsid w:val="007854C4"/>
    <w:rsid w:val="00785510"/>
    <w:rsid w:val="007857A8"/>
    <w:rsid w:val="00786AE8"/>
    <w:rsid w:val="00786E37"/>
    <w:rsid w:val="00786E73"/>
    <w:rsid w:val="007872E3"/>
    <w:rsid w:val="00787371"/>
    <w:rsid w:val="007878E9"/>
    <w:rsid w:val="007903C2"/>
    <w:rsid w:val="00790687"/>
    <w:rsid w:val="00791316"/>
    <w:rsid w:val="00791750"/>
    <w:rsid w:val="007917AF"/>
    <w:rsid w:val="00791F46"/>
    <w:rsid w:val="00792482"/>
    <w:rsid w:val="007932CC"/>
    <w:rsid w:val="007933F7"/>
    <w:rsid w:val="00793848"/>
    <w:rsid w:val="00794D52"/>
    <w:rsid w:val="007959A7"/>
    <w:rsid w:val="00795BEE"/>
    <w:rsid w:val="00796540"/>
    <w:rsid w:val="007966A6"/>
    <w:rsid w:val="00796D7D"/>
    <w:rsid w:val="007973A1"/>
    <w:rsid w:val="00797423"/>
    <w:rsid w:val="007979D1"/>
    <w:rsid w:val="007A195C"/>
    <w:rsid w:val="007A260F"/>
    <w:rsid w:val="007A27D1"/>
    <w:rsid w:val="007A27FD"/>
    <w:rsid w:val="007A2991"/>
    <w:rsid w:val="007A2A42"/>
    <w:rsid w:val="007A3209"/>
    <w:rsid w:val="007A489F"/>
    <w:rsid w:val="007A4B52"/>
    <w:rsid w:val="007A51AF"/>
    <w:rsid w:val="007A538F"/>
    <w:rsid w:val="007A67C6"/>
    <w:rsid w:val="007A79A5"/>
    <w:rsid w:val="007B028A"/>
    <w:rsid w:val="007B0364"/>
    <w:rsid w:val="007B0795"/>
    <w:rsid w:val="007B07BA"/>
    <w:rsid w:val="007B088D"/>
    <w:rsid w:val="007B0F42"/>
    <w:rsid w:val="007B0F97"/>
    <w:rsid w:val="007B2848"/>
    <w:rsid w:val="007B2927"/>
    <w:rsid w:val="007B2DD4"/>
    <w:rsid w:val="007B305D"/>
    <w:rsid w:val="007B3C34"/>
    <w:rsid w:val="007B4AFB"/>
    <w:rsid w:val="007B5BF6"/>
    <w:rsid w:val="007B5EDB"/>
    <w:rsid w:val="007B68A1"/>
    <w:rsid w:val="007B6DC3"/>
    <w:rsid w:val="007B735A"/>
    <w:rsid w:val="007B7388"/>
    <w:rsid w:val="007B791A"/>
    <w:rsid w:val="007C0B89"/>
    <w:rsid w:val="007C1F67"/>
    <w:rsid w:val="007C2AB9"/>
    <w:rsid w:val="007C2BD3"/>
    <w:rsid w:val="007C2D97"/>
    <w:rsid w:val="007C31E5"/>
    <w:rsid w:val="007C3562"/>
    <w:rsid w:val="007C3CBA"/>
    <w:rsid w:val="007C4E11"/>
    <w:rsid w:val="007C5569"/>
    <w:rsid w:val="007C615E"/>
    <w:rsid w:val="007C6298"/>
    <w:rsid w:val="007C6CEB"/>
    <w:rsid w:val="007C708B"/>
    <w:rsid w:val="007C7117"/>
    <w:rsid w:val="007C7AAF"/>
    <w:rsid w:val="007C7E1D"/>
    <w:rsid w:val="007D0342"/>
    <w:rsid w:val="007D09F2"/>
    <w:rsid w:val="007D0DAE"/>
    <w:rsid w:val="007D11CB"/>
    <w:rsid w:val="007D14C5"/>
    <w:rsid w:val="007D14D2"/>
    <w:rsid w:val="007D225F"/>
    <w:rsid w:val="007D273E"/>
    <w:rsid w:val="007D2895"/>
    <w:rsid w:val="007D2A6E"/>
    <w:rsid w:val="007D340E"/>
    <w:rsid w:val="007D3D3E"/>
    <w:rsid w:val="007D3DD5"/>
    <w:rsid w:val="007D40A6"/>
    <w:rsid w:val="007D4191"/>
    <w:rsid w:val="007D44FF"/>
    <w:rsid w:val="007D4A11"/>
    <w:rsid w:val="007D5271"/>
    <w:rsid w:val="007D5A7D"/>
    <w:rsid w:val="007D5B32"/>
    <w:rsid w:val="007D5FE7"/>
    <w:rsid w:val="007D6298"/>
    <w:rsid w:val="007D62B6"/>
    <w:rsid w:val="007D62E6"/>
    <w:rsid w:val="007D63BA"/>
    <w:rsid w:val="007D68A0"/>
    <w:rsid w:val="007D7034"/>
    <w:rsid w:val="007D7C6E"/>
    <w:rsid w:val="007D7F5B"/>
    <w:rsid w:val="007E098D"/>
    <w:rsid w:val="007E1007"/>
    <w:rsid w:val="007E1AAD"/>
    <w:rsid w:val="007E1B02"/>
    <w:rsid w:val="007E1B67"/>
    <w:rsid w:val="007E211B"/>
    <w:rsid w:val="007E2166"/>
    <w:rsid w:val="007E230E"/>
    <w:rsid w:val="007E36E8"/>
    <w:rsid w:val="007E3B93"/>
    <w:rsid w:val="007E454B"/>
    <w:rsid w:val="007E5AFB"/>
    <w:rsid w:val="007E5C7A"/>
    <w:rsid w:val="007E6937"/>
    <w:rsid w:val="007E734A"/>
    <w:rsid w:val="007E793B"/>
    <w:rsid w:val="007F014A"/>
    <w:rsid w:val="007F04E9"/>
    <w:rsid w:val="007F0A08"/>
    <w:rsid w:val="007F0F77"/>
    <w:rsid w:val="007F122A"/>
    <w:rsid w:val="007F12AF"/>
    <w:rsid w:val="007F1324"/>
    <w:rsid w:val="007F1BF9"/>
    <w:rsid w:val="007F2943"/>
    <w:rsid w:val="007F2A7A"/>
    <w:rsid w:val="007F2B05"/>
    <w:rsid w:val="007F2BBB"/>
    <w:rsid w:val="007F314D"/>
    <w:rsid w:val="007F330F"/>
    <w:rsid w:val="007F3833"/>
    <w:rsid w:val="007F4927"/>
    <w:rsid w:val="007F4956"/>
    <w:rsid w:val="007F4B59"/>
    <w:rsid w:val="007F5146"/>
    <w:rsid w:val="007F536E"/>
    <w:rsid w:val="007F5A10"/>
    <w:rsid w:val="007F62BE"/>
    <w:rsid w:val="007F6AC7"/>
    <w:rsid w:val="007F7503"/>
    <w:rsid w:val="007F7704"/>
    <w:rsid w:val="007F7E84"/>
    <w:rsid w:val="007F7F7C"/>
    <w:rsid w:val="0080076C"/>
    <w:rsid w:val="008015F8"/>
    <w:rsid w:val="00801D3C"/>
    <w:rsid w:val="00803314"/>
    <w:rsid w:val="00803387"/>
    <w:rsid w:val="00803E9B"/>
    <w:rsid w:val="008040EC"/>
    <w:rsid w:val="00805490"/>
    <w:rsid w:val="00805EAA"/>
    <w:rsid w:val="00806B75"/>
    <w:rsid w:val="008072FC"/>
    <w:rsid w:val="008074C2"/>
    <w:rsid w:val="00810CE8"/>
    <w:rsid w:val="00810D01"/>
    <w:rsid w:val="008110F6"/>
    <w:rsid w:val="00811258"/>
    <w:rsid w:val="008113E6"/>
    <w:rsid w:val="00811E4D"/>
    <w:rsid w:val="00812C43"/>
    <w:rsid w:val="00812F96"/>
    <w:rsid w:val="00813169"/>
    <w:rsid w:val="008132CB"/>
    <w:rsid w:val="00813315"/>
    <w:rsid w:val="008139F9"/>
    <w:rsid w:val="00813A55"/>
    <w:rsid w:val="00813FBC"/>
    <w:rsid w:val="00814357"/>
    <w:rsid w:val="00814AF3"/>
    <w:rsid w:val="008156A8"/>
    <w:rsid w:val="0081611E"/>
    <w:rsid w:val="008168C0"/>
    <w:rsid w:val="00817167"/>
    <w:rsid w:val="00817517"/>
    <w:rsid w:val="00817720"/>
    <w:rsid w:val="0081793A"/>
    <w:rsid w:val="00820CFA"/>
    <w:rsid w:val="00820FE2"/>
    <w:rsid w:val="00821848"/>
    <w:rsid w:val="00821B08"/>
    <w:rsid w:val="00821BE0"/>
    <w:rsid w:val="00821F71"/>
    <w:rsid w:val="00822421"/>
    <w:rsid w:val="008232E4"/>
    <w:rsid w:val="008234FF"/>
    <w:rsid w:val="00823522"/>
    <w:rsid w:val="00823683"/>
    <w:rsid w:val="00823A0A"/>
    <w:rsid w:val="00823AFA"/>
    <w:rsid w:val="00823B12"/>
    <w:rsid w:val="00823CBD"/>
    <w:rsid w:val="00823F5A"/>
    <w:rsid w:val="00823FD1"/>
    <w:rsid w:val="00825AC5"/>
    <w:rsid w:val="00825CD4"/>
    <w:rsid w:val="00825D81"/>
    <w:rsid w:val="00825FF8"/>
    <w:rsid w:val="00826254"/>
    <w:rsid w:val="0082643B"/>
    <w:rsid w:val="00826DF3"/>
    <w:rsid w:val="008272EB"/>
    <w:rsid w:val="0082787F"/>
    <w:rsid w:val="0083055C"/>
    <w:rsid w:val="00831201"/>
    <w:rsid w:val="0083196E"/>
    <w:rsid w:val="0083286F"/>
    <w:rsid w:val="008329D9"/>
    <w:rsid w:val="00832F73"/>
    <w:rsid w:val="008331A5"/>
    <w:rsid w:val="00834199"/>
    <w:rsid w:val="008342CC"/>
    <w:rsid w:val="00834C70"/>
    <w:rsid w:val="0083521C"/>
    <w:rsid w:val="008359FE"/>
    <w:rsid w:val="00835DF1"/>
    <w:rsid w:val="00837D31"/>
    <w:rsid w:val="008402F7"/>
    <w:rsid w:val="00840C45"/>
    <w:rsid w:val="00840E55"/>
    <w:rsid w:val="00841078"/>
    <w:rsid w:val="00841456"/>
    <w:rsid w:val="00841890"/>
    <w:rsid w:val="00841ACA"/>
    <w:rsid w:val="00841B0F"/>
    <w:rsid w:val="00842498"/>
    <w:rsid w:val="00842714"/>
    <w:rsid w:val="00842A67"/>
    <w:rsid w:val="00842A71"/>
    <w:rsid w:val="0084390A"/>
    <w:rsid w:val="0084488C"/>
    <w:rsid w:val="00844E32"/>
    <w:rsid w:val="00846190"/>
    <w:rsid w:val="00846601"/>
    <w:rsid w:val="00846988"/>
    <w:rsid w:val="008476D5"/>
    <w:rsid w:val="00850A0C"/>
    <w:rsid w:val="00851BC1"/>
    <w:rsid w:val="0085352A"/>
    <w:rsid w:val="008535E0"/>
    <w:rsid w:val="0085379D"/>
    <w:rsid w:val="00853ADE"/>
    <w:rsid w:val="00854585"/>
    <w:rsid w:val="008549CD"/>
    <w:rsid w:val="00854A76"/>
    <w:rsid w:val="00854ADC"/>
    <w:rsid w:val="00854F6A"/>
    <w:rsid w:val="00855BA7"/>
    <w:rsid w:val="0085638A"/>
    <w:rsid w:val="00856823"/>
    <w:rsid w:val="00856AFD"/>
    <w:rsid w:val="0085744D"/>
    <w:rsid w:val="008604AE"/>
    <w:rsid w:val="008609A9"/>
    <w:rsid w:val="00860B65"/>
    <w:rsid w:val="00860D6C"/>
    <w:rsid w:val="00861B62"/>
    <w:rsid w:val="0086267A"/>
    <w:rsid w:val="00862ABA"/>
    <w:rsid w:val="00862D11"/>
    <w:rsid w:val="0086302E"/>
    <w:rsid w:val="00863474"/>
    <w:rsid w:val="008635E9"/>
    <w:rsid w:val="00863958"/>
    <w:rsid w:val="00864651"/>
    <w:rsid w:val="00864D19"/>
    <w:rsid w:val="00864F50"/>
    <w:rsid w:val="008651CC"/>
    <w:rsid w:val="008651F0"/>
    <w:rsid w:val="00865E86"/>
    <w:rsid w:val="00866BAB"/>
    <w:rsid w:val="00867423"/>
    <w:rsid w:val="00867558"/>
    <w:rsid w:val="00867605"/>
    <w:rsid w:val="008678EE"/>
    <w:rsid w:val="00867AC5"/>
    <w:rsid w:val="00867B99"/>
    <w:rsid w:val="00870BD6"/>
    <w:rsid w:val="00870C92"/>
    <w:rsid w:val="00871270"/>
    <w:rsid w:val="00871B7D"/>
    <w:rsid w:val="00871CAD"/>
    <w:rsid w:val="00872D31"/>
    <w:rsid w:val="00872EA5"/>
    <w:rsid w:val="008730F0"/>
    <w:rsid w:val="0087347B"/>
    <w:rsid w:val="00874264"/>
    <w:rsid w:val="00874CBC"/>
    <w:rsid w:val="0087519A"/>
    <w:rsid w:val="00875488"/>
    <w:rsid w:val="008755EB"/>
    <w:rsid w:val="00875877"/>
    <w:rsid w:val="008761D7"/>
    <w:rsid w:val="00877F80"/>
    <w:rsid w:val="00877FCD"/>
    <w:rsid w:val="00882885"/>
    <w:rsid w:val="00882EC3"/>
    <w:rsid w:val="008834E1"/>
    <w:rsid w:val="00883674"/>
    <w:rsid w:val="00883A18"/>
    <w:rsid w:val="00883C6E"/>
    <w:rsid w:val="00883F1C"/>
    <w:rsid w:val="00884051"/>
    <w:rsid w:val="00884293"/>
    <w:rsid w:val="008845FE"/>
    <w:rsid w:val="00884835"/>
    <w:rsid w:val="00884963"/>
    <w:rsid w:val="00886014"/>
    <w:rsid w:val="00886647"/>
    <w:rsid w:val="00886788"/>
    <w:rsid w:val="00886DDB"/>
    <w:rsid w:val="008874BC"/>
    <w:rsid w:val="008876BE"/>
    <w:rsid w:val="00887EBA"/>
    <w:rsid w:val="00890EAC"/>
    <w:rsid w:val="008918D1"/>
    <w:rsid w:val="00891E78"/>
    <w:rsid w:val="00892069"/>
    <w:rsid w:val="00892128"/>
    <w:rsid w:val="008923A5"/>
    <w:rsid w:val="00892A25"/>
    <w:rsid w:val="00892CB9"/>
    <w:rsid w:val="00893E5C"/>
    <w:rsid w:val="008942F5"/>
    <w:rsid w:val="00894540"/>
    <w:rsid w:val="008946A2"/>
    <w:rsid w:val="00896EC7"/>
    <w:rsid w:val="00897242"/>
    <w:rsid w:val="00897DBB"/>
    <w:rsid w:val="00897E04"/>
    <w:rsid w:val="008A0C88"/>
    <w:rsid w:val="008A11AE"/>
    <w:rsid w:val="008A16DC"/>
    <w:rsid w:val="008A1754"/>
    <w:rsid w:val="008A24D7"/>
    <w:rsid w:val="008A2A41"/>
    <w:rsid w:val="008A31EF"/>
    <w:rsid w:val="008A36D6"/>
    <w:rsid w:val="008A4460"/>
    <w:rsid w:val="008A4557"/>
    <w:rsid w:val="008A6C0E"/>
    <w:rsid w:val="008A6F65"/>
    <w:rsid w:val="008A74F2"/>
    <w:rsid w:val="008B01D5"/>
    <w:rsid w:val="008B0A86"/>
    <w:rsid w:val="008B0F48"/>
    <w:rsid w:val="008B1745"/>
    <w:rsid w:val="008B3197"/>
    <w:rsid w:val="008B49FB"/>
    <w:rsid w:val="008B4C64"/>
    <w:rsid w:val="008B4DB2"/>
    <w:rsid w:val="008B4E09"/>
    <w:rsid w:val="008B4F95"/>
    <w:rsid w:val="008B55FB"/>
    <w:rsid w:val="008B658D"/>
    <w:rsid w:val="008B6C02"/>
    <w:rsid w:val="008B6F8B"/>
    <w:rsid w:val="008B766A"/>
    <w:rsid w:val="008B790A"/>
    <w:rsid w:val="008C07E0"/>
    <w:rsid w:val="008C11B0"/>
    <w:rsid w:val="008C2B0B"/>
    <w:rsid w:val="008C3265"/>
    <w:rsid w:val="008C36EF"/>
    <w:rsid w:val="008C37E7"/>
    <w:rsid w:val="008C3D61"/>
    <w:rsid w:val="008C3D8E"/>
    <w:rsid w:val="008C3EEF"/>
    <w:rsid w:val="008C431C"/>
    <w:rsid w:val="008C5E1B"/>
    <w:rsid w:val="008C61F9"/>
    <w:rsid w:val="008C6D0D"/>
    <w:rsid w:val="008C76F4"/>
    <w:rsid w:val="008C7E46"/>
    <w:rsid w:val="008D0147"/>
    <w:rsid w:val="008D0F06"/>
    <w:rsid w:val="008D1F62"/>
    <w:rsid w:val="008D2833"/>
    <w:rsid w:val="008D2BF3"/>
    <w:rsid w:val="008D2D1A"/>
    <w:rsid w:val="008D31FB"/>
    <w:rsid w:val="008D3923"/>
    <w:rsid w:val="008D3BB3"/>
    <w:rsid w:val="008D42D7"/>
    <w:rsid w:val="008D44D1"/>
    <w:rsid w:val="008D4AE1"/>
    <w:rsid w:val="008D4CE0"/>
    <w:rsid w:val="008D4EF3"/>
    <w:rsid w:val="008D4F82"/>
    <w:rsid w:val="008D5538"/>
    <w:rsid w:val="008D5C70"/>
    <w:rsid w:val="008D5D7E"/>
    <w:rsid w:val="008D67ED"/>
    <w:rsid w:val="008D6AD9"/>
    <w:rsid w:val="008D6BC5"/>
    <w:rsid w:val="008D6E11"/>
    <w:rsid w:val="008D73C3"/>
    <w:rsid w:val="008D7DE6"/>
    <w:rsid w:val="008E00C1"/>
    <w:rsid w:val="008E0368"/>
    <w:rsid w:val="008E093A"/>
    <w:rsid w:val="008E0CA7"/>
    <w:rsid w:val="008E0EBD"/>
    <w:rsid w:val="008E1C25"/>
    <w:rsid w:val="008E2071"/>
    <w:rsid w:val="008E240A"/>
    <w:rsid w:val="008E2537"/>
    <w:rsid w:val="008E3868"/>
    <w:rsid w:val="008E3B55"/>
    <w:rsid w:val="008E3EDB"/>
    <w:rsid w:val="008E49C4"/>
    <w:rsid w:val="008E4C8E"/>
    <w:rsid w:val="008E5109"/>
    <w:rsid w:val="008E5E14"/>
    <w:rsid w:val="008E5F5C"/>
    <w:rsid w:val="008E64E7"/>
    <w:rsid w:val="008E6FA9"/>
    <w:rsid w:val="008E75B5"/>
    <w:rsid w:val="008E7EB0"/>
    <w:rsid w:val="008E7F1C"/>
    <w:rsid w:val="008F135E"/>
    <w:rsid w:val="008F15D7"/>
    <w:rsid w:val="008F1D01"/>
    <w:rsid w:val="008F20C5"/>
    <w:rsid w:val="008F2368"/>
    <w:rsid w:val="008F3B75"/>
    <w:rsid w:val="008F48B6"/>
    <w:rsid w:val="008F4CF7"/>
    <w:rsid w:val="008F56AC"/>
    <w:rsid w:val="008F6E42"/>
    <w:rsid w:val="008F71A3"/>
    <w:rsid w:val="008F74A0"/>
    <w:rsid w:val="008F78D3"/>
    <w:rsid w:val="008F7A1D"/>
    <w:rsid w:val="008F7FCD"/>
    <w:rsid w:val="00900583"/>
    <w:rsid w:val="0090097B"/>
    <w:rsid w:val="00900B35"/>
    <w:rsid w:val="00901241"/>
    <w:rsid w:val="009013AC"/>
    <w:rsid w:val="00901651"/>
    <w:rsid w:val="00901A45"/>
    <w:rsid w:val="00901FCD"/>
    <w:rsid w:val="0090404D"/>
    <w:rsid w:val="00904306"/>
    <w:rsid w:val="009049C6"/>
    <w:rsid w:val="00905017"/>
    <w:rsid w:val="00905C9B"/>
    <w:rsid w:val="00906003"/>
    <w:rsid w:val="009066D3"/>
    <w:rsid w:val="0090693F"/>
    <w:rsid w:val="00906A4D"/>
    <w:rsid w:val="00906B22"/>
    <w:rsid w:val="00906D31"/>
    <w:rsid w:val="009070BC"/>
    <w:rsid w:val="00907618"/>
    <w:rsid w:val="009076B6"/>
    <w:rsid w:val="009076C2"/>
    <w:rsid w:val="0091038D"/>
    <w:rsid w:val="00910B3C"/>
    <w:rsid w:val="009117BD"/>
    <w:rsid w:val="009124FA"/>
    <w:rsid w:val="009132D4"/>
    <w:rsid w:val="00913488"/>
    <w:rsid w:val="00914358"/>
    <w:rsid w:val="0091498D"/>
    <w:rsid w:val="009153E1"/>
    <w:rsid w:val="009156E9"/>
    <w:rsid w:val="00915845"/>
    <w:rsid w:val="009163DC"/>
    <w:rsid w:val="009165D2"/>
    <w:rsid w:val="009203CB"/>
    <w:rsid w:val="009206CA"/>
    <w:rsid w:val="00920739"/>
    <w:rsid w:val="00920A5F"/>
    <w:rsid w:val="00920C0D"/>
    <w:rsid w:val="009210B9"/>
    <w:rsid w:val="00921566"/>
    <w:rsid w:val="00921574"/>
    <w:rsid w:val="00921EDE"/>
    <w:rsid w:val="00922090"/>
    <w:rsid w:val="0092279A"/>
    <w:rsid w:val="00923955"/>
    <w:rsid w:val="00923B61"/>
    <w:rsid w:val="00923CB9"/>
    <w:rsid w:val="00924D2C"/>
    <w:rsid w:val="00925A65"/>
    <w:rsid w:val="00926103"/>
    <w:rsid w:val="009261B7"/>
    <w:rsid w:val="00927B19"/>
    <w:rsid w:val="00927B79"/>
    <w:rsid w:val="00927DE0"/>
    <w:rsid w:val="00927F6A"/>
    <w:rsid w:val="00930094"/>
    <w:rsid w:val="009300E6"/>
    <w:rsid w:val="009302EF"/>
    <w:rsid w:val="009303A4"/>
    <w:rsid w:val="00930938"/>
    <w:rsid w:val="009319DD"/>
    <w:rsid w:val="0093225A"/>
    <w:rsid w:val="00932A00"/>
    <w:rsid w:val="0093308D"/>
    <w:rsid w:val="00933252"/>
    <w:rsid w:val="009334A3"/>
    <w:rsid w:val="0093397D"/>
    <w:rsid w:val="00933EC5"/>
    <w:rsid w:val="0093421A"/>
    <w:rsid w:val="0093445F"/>
    <w:rsid w:val="0093467E"/>
    <w:rsid w:val="00934976"/>
    <w:rsid w:val="00934A45"/>
    <w:rsid w:val="009352BC"/>
    <w:rsid w:val="0093544E"/>
    <w:rsid w:val="0093558F"/>
    <w:rsid w:val="00935C3C"/>
    <w:rsid w:val="00935CBB"/>
    <w:rsid w:val="00935FDD"/>
    <w:rsid w:val="00936BFF"/>
    <w:rsid w:val="009371BD"/>
    <w:rsid w:val="00937A90"/>
    <w:rsid w:val="00937B8E"/>
    <w:rsid w:val="0094063B"/>
    <w:rsid w:val="00940767"/>
    <w:rsid w:val="0094080F"/>
    <w:rsid w:val="00941203"/>
    <w:rsid w:val="00941314"/>
    <w:rsid w:val="009414FA"/>
    <w:rsid w:val="0094194D"/>
    <w:rsid w:val="00942D1D"/>
    <w:rsid w:val="009434B4"/>
    <w:rsid w:val="00943DC0"/>
    <w:rsid w:val="00943EBF"/>
    <w:rsid w:val="00944141"/>
    <w:rsid w:val="009445AC"/>
    <w:rsid w:val="00944873"/>
    <w:rsid w:val="00944CF3"/>
    <w:rsid w:val="009454CF"/>
    <w:rsid w:val="0094605F"/>
    <w:rsid w:val="00946153"/>
    <w:rsid w:val="00946FC5"/>
    <w:rsid w:val="00947017"/>
    <w:rsid w:val="0095030C"/>
    <w:rsid w:val="0095148E"/>
    <w:rsid w:val="00951674"/>
    <w:rsid w:val="00951873"/>
    <w:rsid w:val="00951C61"/>
    <w:rsid w:val="009520D7"/>
    <w:rsid w:val="00952906"/>
    <w:rsid w:val="009537D6"/>
    <w:rsid w:val="00953C4A"/>
    <w:rsid w:val="00953D7F"/>
    <w:rsid w:val="0095573B"/>
    <w:rsid w:val="009565E2"/>
    <w:rsid w:val="00956850"/>
    <w:rsid w:val="009569C9"/>
    <w:rsid w:val="00956A70"/>
    <w:rsid w:val="00956C9E"/>
    <w:rsid w:val="00956D79"/>
    <w:rsid w:val="0095702D"/>
    <w:rsid w:val="00957E80"/>
    <w:rsid w:val="00960DCC"/>
    <w:rsid w:val="009612D1"/>
    <w:rsid w:val="009613C8"/>
    <w:rsid w:val="009614F3"/>
    <w:rsid w:val="00961EF2"/>
    <w:rsid w:val="0096416C"/>
    <w:rsid w:val="009647C8"/>
    <w:rsid w:val="00964862"/>
    <w:rsid w:val="009651CA"/>
    <w:rsid w:val="0096577E"/>
    <w:rsid w:val="009664E9"/>
    <w:rsid w:val="00966BED"/>
    <w:rsid w:val="00966F91"/>
    <w:rsid w:val="009675BE"/>
    <w:rsid w:val="00970022"/>
    <w:rsid w:val="00970D85"/>
    <w:rsid w:val="0097100F"/>
    <w:rsid w:val="009727F3"/>
    <w:rsid w:val="00972E50"/>
    <w:rsid w:val="009731D1"/>
    <w:rsid w:val="00973B02"/>
    <w:rsid w:val="0097451E"/>
    <w:rsid w:val="0097474E"/>
    <w:rsid w:val="0097538A"/>
    <w:rsid w:val="009753C5"/>
    <w:rsid w:val="00975A4D"/>
    <w:rsid w:val="00975DC5"/>
    <w:rsid w:val="0097642C"/>
    <w:rsid w:val="00980642"/>
    <w:rsid w:val="00980DBE"/>
    <w:rsid w:val="00980FDC"/>
    <w:rsid w:val="009817CC"/>
    <w:rsid w:val="00981E35"/>
    <w:rsid w:val="00982391"/>
    <w:rsid w:val="00982707"/>
    <w:rsid w:val="00982B3D"/>
    <w:rsid w:val="00982EB9"/>
    <w:rsid w:val="00983D40"/>
    <w:rsid w:val="00984006"/>
    <w:rsid w:val="009841EC"/>
    <w:rsid w:val="009842AD"/>
    <w:rsid w:val="00984724"/>
    <w:rsid w:val="00984A74"/>
    <w:rsid w:val="00984D72"/>
    <w:rsid w:val="00986946"/>
    <w:rsid w:val="009873AE"/>
    <w:rsid w:val="00987851"/>
    <w:rsid w:val="00987D3B"/>
    <w:rsid w:val="009901D6"/>
    <w:rsid w:val="009905A9"/>
    <w:rsid w:val="009908C0"/>
    <w:rsid w:val="0099190E"/>
    <w:rsid w:val="009926F5"/>
    <w:rsid w:val="00992987"/>
    <w:rsid w:val="00993119"/>
    <w:rsid w:val="009931C6"/>
    <w:rsid w:val="00993439"/>
    <w:rsid w:val="00995BB2"/>
    <w:rsid w:val="009963FB"/>
    <w:rsid w:val="009966E0"/>
    <w:rsid w:val="00996714"/>
    <w:rsid w:val="00996B2F"/>
    <w:rsid w:val="009972A4"/>
    <w:rsid w:val="0099751C"/>
    <w:rsid w:val="009A0E20"/>
    <w:rsid w:val="009A11E4"/>
    <w:rsid w:val="009A1B6C"/>
    <w:rsid w:val="009A2495"/>
    <w:rsid w:val="009A2546"/>
    <w:rsid w:val="009A349C"/>
    <w:rsid w:val="009A3573"/>
    <w:rsid w:val="009A3A89"/>
    <w:rsid w:val="009A4186"/>
    <w:rsid w:val="009A441D"/>
    <w:rsid w:val="009A4B57"/>
    <w:rsid w:val="009A4BB4"/>
    <w:rsid w:val="009A4BBC"/>
    <w:rsid w:val="009A59DA"/>
    <w:rsid w:val="009A5B16"/>
    <w:rsid w:val="009A5BA4"/>
    <w:rsid w:val="009A5BBF"/>
    <w:rsid w:val="009A5D22"/>
    <w:rsid w:val="009A620D"/>
    <w:rsid w:val="009A6DD3"/>
    <w:rsid w:val="009A6FDB"/>
    <w:rsid w:val="009A72CE"/>
    <w:rsid w:val="009A74F3"/>
    <w:rsid w:val="009A75B6"/>
    <w:rsid w:val="009B03DB"/>
    <w:rsid w:val="009B061F"/>
    <w:rsid w:val="009B0FAA"/>
    <w:rsid w:val="009B1482"/>
    <w:rsid w:val="009B15B0"/>
    <w:rsid w:val="009B22BF"/>
    <w:rsid w:val="009B2B84"/>
    <w:rsid w:val="009B4109"/>
    <w:rsid w:val="009B428E"/>
    <w:rsid w:val="009B440A"/>
    <w:rsid w:val="009B4627"/>
    <w:rsid w:val="009B463B"/>
    <w:rsid w:val="009B473A"/>
    <w:rsid w:val="009B50F2"/>
    <w:rsid w:val="009B53B6"/>
    <w:rsid w:val="009B5BA3"/>
    <w:rsid w:val="009B5F12"/>
    <w:rsid w:val="009B6870"/>
    <w:rsid w:val="009B69D7"/>
    <w:rsid w:val="009B6BDD"/>
    <w:rsid w:val="009B7A12"/>
    <w:rsid w:val="009B7A59"/>
    <w:rsid w:val="009C11F6"/>
    <w:rsid w:val="009C1FAD"/>
    <w:rsid w:val="009C27BF"/>
    <w:rsid w:val="009C2F4A"/>
    <w:rsid w:val="009C3E77"/>
    <w:rsid w:val="009C400D"/>
    <w:rsid w:val="009C4016"/>
    <w:rsid w:val="009C4168"/>
    <w:rsid w:val="009C4FA5"/>
    <w:rsid w:val="009C644A"/>
    <w:rsid w:val="009C6576"/>
    <w:rsid w:val="009C685B"/>
    <w:rsid w:val="009C6B5C"/>
    <w:rsid w:val="009C6C1F"/>
    <w:rsid w:val="009C78ED"/>
    <w:rsid w:val="009C79AF"/>
    <w:rsid w:val="009C7A3A"/>
    <w:rsid w:val="009C7AF0"/>
    <w:rsid w:val="009D1636"/>
    <w:rsid w:val="009D1968"/>
    <w:rsid w:val="009D1A5F"/>
    <w:rsid w:val="009D1CFF"/>
    <w:rsid w:val="009D24D3"/>
    <w:rsid w:val="009D25D4"/>
    <w:rsid w:val="009D2894"/>
    <w:rsid w:val="009D2B09"/>
    <w:rsid w:val="009D3425"/>
    <w:rsid w:val="009D36FA"/>
    <w:rsid w:val="009D44EA"/>
    <w:rsid w:val="009D5471"/>
    <w:rsid w:val="009D5C43"/>
    <w:rsid w:val="009D5DB4"/>
    <w:rsid w:val="009D65D6"/>
    <w:rsid w:val="009D6D87"/>
    <w:rsid w:val="009D72CE"/>
    <w:rsid w:val="009D763F"/>
    <w:rsid w:val="009D76BE"/>
    <w:rsid w:val="009D7B66"/>
    <w:rsid w:val="009E03A4"/>
    <w:rsid w:val="009E05DE"/>
    <w:rsid w:val="009E09E4"/>
    <w:rsid w:val="009E1199"/>
    <w:rsid w:val="009E12DB"/>
    <w:rsid w:val="009E159B"/>
    <w:rsid w:val="009E1E0D"/>
    <w:rsid w:val="009E1FB9"/>
    <w:rsid w:val="009E200F"/>
    <w:rsid w:val="009E2EE6"/>
    <w:rsid w:val="009E3D80"/>
    <w:rsid w:val="009E56BA"/>
    <w:rsid w:val="009E7DE5"/>
    <w:rsid w:val="009E7E12"/>
    <w:rsid w:val="009F0D23"/>
    <w:rsid w:val="009F2DD9"/>
    <w:rsid w:val="009F34E1"/>
    <w:rsid w:val="009F3F28"/>
    <w:rsid w:val="009F41D8"/>
    <w:rsid w:val="009F4245"/>
    <w:rsid w:val="009F507F"/>
    <w:rsid w:val="009F5418"/>
    <w:rsid w:val="009F542A"/>
    <w:rsid w:val="009F5605"/>
    <w:rsid w:val="009F5B28"/>
    <w:rsid w:val="009F5D57"/>
    <w:rsid w:val="009F60E8"/>
    <w:rsid w:val="009F691E"/>
    <w:rsid w:val="009F701D"/>
    <w:rsid w:val="009F70CA"/>
    <w:rsid w:val="009F7894"/>
    <w:rsid w:val="009F796E"/>
    <w:rsid w:val="00A00940"/>
    <w:rsid w:val="00A012B0"/>
    <w:rsid w:val="00A014C3"/>
    <w:rsid w:val="00A020A0"/>
    <w:rsid w:val="00A0350A"/>
    <w:rsid w:val="00A03544"/>
    <w:rsid w:val="00A0554B"/>
    <w:rsid w:val="00A05DD1"/>
    <w:rsid w:val="00A0612B"/>
    <w:rsid w:val="00A065C5"/>
    <w:rsid w:val="00A07114"/>
    <w:rsid w:val="00A10253"/>
    <w:rsid w:val="00A105C0"/>
    <w:rsid w:val="00A11499"/>
    <w:rsid w:val="00A12BEC"/>
    <w:rsid w:val="00A12DDF"/>
    <w:rsid w:val="00A12EF5"/>
    <w:rsid w:val="00A12F1B"/>
    <w:rsid w:val="00A13170"/>
    <w:rsid w:val="00A132E5"/>
    <w:rsid w:val="00A13465"/>
    <w:rsid w:val="00A1458E"/>
    <w:rsid w:val="00A14D97"/>
    <w:rsid w:val="00A14E18"/>
    <w:rsid w:val="00A15938"/>
    <w:rsid w:val="00A15D38"/>
    <w:rsid w:val="00A16974"/>
    <w:rsid w:val="00A16D3E"/>
    <w:rsid w:val="00A16D4F"/>
    <w:rsid w:val="00A201BC"/>
    <w:rsid w:val="00A206E1"/>
    <w:rsid w:val="00A2091F"/>
    <w:rsid w:val="00A215FB"/>
    <w:rsid w:val="00A21674"/>
    <w:rsid w:val="00A219B0"/>
    <w:rsid w:val="00A21A38"/>
    <w:rsid w:val="00A22035"/>
    <w:rsid w:val="00A23220"/>
    <w:rsid w:val="00A23981"/>
    <w:rsid w:val="00A2404D"/>
    <w:rsid w:val="00A24715"/>
    <w:rsid w:val="00A247C0"/>
    <w:rsid w:val="00A26586"/>
    <w:rsid w:val="00A266B3"/>
    <w:rsid w:val="00A27035"/>
    <w:rsid w:val="00A275FD"/>
    <w:rsid w:val="00A2778A"/>
    <w:rsid w:val="00A27D6E"/>
    <w:rsid w:val="00A27F19"/>
    <w:rsid w:val="00A30117"/>
    <w:rsid w:val="00A30351"/>
    <w:rsid w:val="00A30730"/>
    <w:rsid w:val="00A30D87"/>
    <w:rsid w:val="00A30DEC"/>
    <w:rsid w:val="00A313CB"/>
    <w:rsid w:val="00A314FB"/>
    <w:rsid w:val="00A32923"/>
    <w:rsid w:val="00A32C8F"/>
    <w:rsid w:val="00A32EE1"/>
    <w:rsid w:val="00A33FE0"/>
    <w:rsid w:val="00A344BF"/>
    <w:rsid w:val="00A3489C"/>
    <w:rsid w:val="00A3515F"/>
    <w:rsid w:val="00A3691B"/>
    <w:rsid w:val="00A36D53"/>
    <w:rsid w:val="00A400B3"/>
    <w:rsid w:val="00A401A7"/>
    <w:rsid w:val="00A40A8C"/>
    <w:rsid w:val="00A40B13"/>
    <w:rsid w:val="00A41E0C"/>
    <w:rsid w:val="00A4342D"/>
    <w:rsid w:val="00A43947"/>
    <w:rsid w:val="00A43E20"/>
    <w:rsid w:val="00A43E9D"/>
    <w:rsid w:val="00A44164"/>
    <w:rsid w:val="00A4445E"/>
    <w:rsid w:val="00A4472F"/>
    <w:rsid w:val="00A44AE5"/>
    <w:rsid w:val="00A45599"/>
    <w:rsid w:val="00A457C0"/>
    <w:rsid w:val="00A46500"/>
    <w:rsid w:val="00A46634"/>
    <w:rsid w:val="00A47921"/>
    <w:rsid w:val="00A50264"/>
    <w:rsid w:val="00A5070D"/>
    <w:rsid w:val="00A50AD2"/>
    <w:rsid w:val="00A51120"/>
    <w:rsid w:val="00A5275C"/>
    <w:rsid w:val="00A52F7D"/>
    <w:rsid w:val="00A5331A"/>
    <w:rsid w:val="00A544B1"/>
    <w:rsid w:val="00A549B8"/>
    <w:rsid w:val="00A54BFC"/>
    <w:rsid w:val="00A54C45"/>
    <w:rsid w:val="00A54CC7"/>
    <w:rsid w:val="00A550DE"/>
    <w:rsid w:val="00A556A0"/>
    <w:rsid w:val="00A55A45"/>
    <w:rsid w:val="00A55A4A"/>
    <w:rsid w:val="00A56B18"/>
    <w:rsid w:val="00A56B30"/>
    <w:rsid w:val="00A56B9A"/>
    <w:rsid w:val="00A56DBA"/>
    <w:rsid w:val="00A56F5E"/>
    <w:rsid w:val="00A570F9"/>
    <w:rsid w:val="00A5727E"/>
    <w:rsid w:val="00A57C1E"/>
    <w:rsid w:val="00A57CBF"/>
    <w:rsid w:val="00A60A1B"/>
    <w:rsid w:val="00A60DFD"/>
    <w:rsid w:val="00A60F3F"/>
    <w:rsid w:val="00A61055"/>
    <w:rsid w:val="00A6212F"/>
    <w:rsid w:val="00A62706"/>
    <w:rsid w:val="00A627D4"/>
    <w:rsid w:val="00A62B08"/>
    <w:rsid w:val="00A62EDB"/>
    <w:rsid w:val="00A638E7"/>
    <w:rsid w:val="00A63960"/>
    <w:rsid w:val="00A63FC1"/>
    <w:rsid w:val="00A64EC4"/>
    <w:rsid w:val="00A65367"/>
    <w:rsid w:val="00A654E9"/>
    <w:rsid w:val="00A66A2E"/>
    <w:rsid w:val="00A66AB6"/>
    <w:rsid w:val="00A67630"/>
    <w:rsid w:val="00A67DE3"/>
    <w:rsid w:val="00A67ED1"/>
    <w:rsid w:val="00A67F78"/>
    <w:rsid w:val="00A70B11"/>
    <w:rsid w:val="00A70B94"/>
    <w:rsid w:val="00A70F93"/>
    <w:rsid w:val="00A715F9"/>
    <w:rsid w:val="00A716D1"/>
    <w:rsid w:val="00A71872"/>
    <w:rsid w:val="00A71A2E"/>
    <w:rsid w:val="00A72728"/>
    <w:rsid w:val="00A727D7"/>
    <w:rsid w:val="00A72AC7"/>
    <w:rsid w:val="00A73538"/>
    <w:rsid w:val="00A73AFA"/>
    <w:rsid w:val="00A73C75"/>
    <w:rsid w:val="00A74820"/>
    <w:rsid w:val="00A74A6F"/>
    <w:rsid w:val="00A7583D"/>
    <w:rsid w:val="00A75CD5"/>
    <w:rsid w:val="00A762D6"/>
    <w:rsid w:val="00A76747"/>
    <w:rsid w:val="00A76934"/>
    <w:rsid w:val="00A76DF8"/>
    <w:rsid w:val="00A77CA5"/>
    <w:rsid w:val="00A80620"/>
    <w:rsid w:val="00A80C0A"/>
    <w:rsid w:val="00A8162E"/>
    <w:rsid w:val="00A8173B"/>
    <w:rsid w:val="00A82004"/>
    <w:rsid w:val="00A8291F"/>
    <w:rsid w:val="00A82EF1"/>
    <w:rsid w:val="00A8440D"/>
    <w:rsid w:val="00A84C51"/>
    <w:rsid w:val="00A85022"/>
    <w:rsid w:val="00A85C2D"/>
    <w:rsid w:val="00A864D7"/>
    <w:rsid w:val="00A8662F"/>
    <w:rsid w:val="00A87308"/>
    <w:rsid w:val="00A87FC4"/>
    <w:rsid w:val="00A9055F"/>
    <w:rsid w:val="00A913F7"/>
    <w:rsid w:val="00A91C3C"/>
    <w:rsid w:val="00A92924"/>
    <w:rsid w:val="00A92D10"/>
    <w:rsid w:val="00A9301D"/>
    <w:rsid w:val="00A939FA"/>
    <w:rsid w:val="00A93E9C"/>
    <w:rsid w:val="00A945A5"/>
    <w:rsid w:val="00A947F2"/>
    <w:rsid w:val="00A94D08"/>
    <w:rsid w:val="00A96651"/>
    <w:rsid w:val="00A96D62"/>
    <w:rsid w:val="00A96FFC"/>
    <w:rsid w:val="00AA02E1"/>
    <w:rsid w:val="00AA0312"/>
    <w:rsid w:val="00AA0983"/>
    <w:rsid w:val="00AA0C03"/>
    <w:rsid w:val="00AA0FD5"/>
    <w:rsid w:val="00AA10C3"/>
    <w:rsid w:val="00AA140F"/>
    <w:rsid w:val="00AA1489"/>
    <w:rsid w:val="00AA1650"/>
    <w:rsid w:val="00AA17E3"/>
    <w:rsid w:val="00AA18BD"/>
    <w:rsid w:val="00AA220D"/>
    <w:rsid w:val="00AA2715"/>
    <w:rsid w:val="00AA29C3"/>
    <w:rsid w:val="00AA2E12"/>
    <w:rsid w:val="00AA3177"/>
    <w:rsid w:val="00AA31A4"/>
    <w:rsid w:val="00AA3AE4"/>
    <w:rsid w:val="00AA3EBF"/>
    <w:rsid w:val="00AA3FBD"/>
    <w:rsid w:val="00AA4497"/>
    <w:rsid w:val="00AA453F"/>
    <w:rsid w:val="00AA467D"/>
    <w:rsid w:val="00AA4DAE"/>
    <w:rsid w:val="00AA5B22"/>
    <w:rsid w:val="00AA610A"/>
    <w:rsid w:val="00AA6612"/>
    <w:rsid w:val="00AA6737"/>
    <w:rsid w:val="00AA6C7A"/>
    <w:rsid w:val="00AA78C8"/>
    <w:rsid w:val="00AA7A02"/>
    <w:rsid w:val="00AB045F"/>
    <w:rsid w:val="00AB199B"/>
    <w:rsid w:val="00AB1A0F"/>
    <w:rsid w:val="00AB2A68"/>
    <w:rsid w:val="00AB3C87"/>
    <w:rsid w:val="00AB4A21"/>
    <w:rsid w:val="00AB4FAA"/>
    <w:rsid w:val="00AB51A0"/>
    <w:rsid w:val="00AB5259"/>
    <w:rsid w:val="00AB5890"/>
    <w:rsid w:val="00AB5BA9"/>
    <w:rsid w:val="00AB5BEA"/>
    <w:rsid w:val="00AB6012"/>
    <w:rsid w:val="00AB60B5"/>
    <w:rsid w:val="00AB60F8"/>
    <w:rsid w:val="00AB742A"/>
    <w:rsid w:val="00AB7848"/>
    <w:rsid w:val="00AB7AFE"/>
    <w:rsid w:val="00AC0221"/>
    <w:rsid w:val="00AC04E4"/>
    <w:rsid w:val="00AC1C55"/>
    <w:rsid w:val="00AC1CD1"/>
    <w:rsid w:val="00AC288A"/>
    <w:rsid w:val="00AC2C13"/>
    <w:rsid w:val="00AC2FAC"/>
    <w:rsid w:val="00AC341C"/>
    <w:rsid w:val="00AC35D0"/>
    <w:rsid w:val="00AC3C36"/>
    <w:rsid w:val="00AC3C7B"/>
    <w:rsid w:val="00AC4485"/>
    <w:rsid w:val="00AC4880"/>
    <w:rsid w:val="00AC48FE"/>
    <w:rsid w:val="00AC4DCD"/>
    <w:rsid w:val="00AC5015"/>
    <w:rsid w:val="00AC51A8"/>
    <w:rsid w:val="00AC5830"/>
    <w:rsid w:val="00AC5EC1"/>
    <w:rsid w:val="00AC6090"/>
    <w:rsid w:val="00AC6299"/>
    <w:rsid w:val="00AC6566"/>
    <w:rsid w:val="00AC68C6"/>
    <w:rsid w:val="00AC7241"/>
    <w:rsid w:val="00AD018E"/>
    <w:rsid w:val="00AD0479"/>
    <w:rsid w:val="00AD0A63"/>
    <w:rsid w:val="00AD0B48"/>
    <w:rsid w:val="00AD114D"/>
    <w:rsid w:val="00AD18FC"/>
    <w:rsid w:val="00AD19B7"/>
    <w:rsid w:val="00AD1E95"/>
    <w:rsid w:val="00AD1F76"/>
    <w:rsid w:val="00AD2377"/>
    <w:rsid w:val="00AD305C"/>
    <w:rsid w:val="00AD3DE1"/>
    <w:rsid w:val="00AD3F00"/>
    <w:rsid w:val="00AD4044"/>
    <w:rsid w:val="00AD41AC"/>
    <w:rsid w:val="00AD46A9"/>
    <w:rsid w:val="00AD55CE"/>
    <w:rsid w:val="00AD568E"/>
    <w:rsid w:val="00AD5CD5"/>
    <w:rsid w:val="00AD7ADE"/>
    <w:rsid w:val="00AD7EE3"/>
    <w:rsid w:val="00AE0140"/>
    <w:rsid w:val="00AE02ED"/>
    <w:rsid w:val="00AE1503"/>
    <w:rsid w:val="00AE165C"/>
    <w:rsid w:val="00AE1D32"/>
    <w:rsid w:val="00AE2109"/>
    <w:rsid w:val="00AE27B6"/>
    <w:rsid w:val="00AE280D"/>
    <w:rsid w:val="00AE29EC"/>
    <w:rsid w:val="00AE2CA3"/>
    <w:rsid w:val="00AE33B4"/>
    <w:rsid w:val="00AE3860"/>
    <w:rsid w:val="00AE397E"/>
    <w:rsid w:val="00AE3A04"/>
    <w:rsid w:val="00AE3BC2"/>
    <w:rsid w:val="00AE3E42"/>
    <w:rsid w:val="00AE417B"/>
    <w:rsid w:val="00AE5213"/>
    <w:rsid w:val="00AE5575"/>
    <w:rsid w:val="00AE5685"/>
    <w:rsid w:val="00AE5A13"/>
    <w:rsid w:val="00AE5A49"/>
    <w:rsid w:val="00AE66CF"/>
    <w:rsid w:val="00AE6A41"/>
    <w:rsid w:val="00AE70A7"/>
    <w:rsid w:val="00AE7B1C"/>
    <w:rsid w:val="00AE7F36"/>
    <w:rsid w:val="00AF0FD1"/>
    <w:rsid w:val="00AF1388"/>
    <w:rsid w:val="00AF1634"/>
    <w:rsid w:val="00AF1C4B"/>
    <w:rsid w:val="00AF1EF9"/>
    <w:rsid w:val="00AF1F65"/>
    <w:rsid w:val="00AF1FDD"/>
    <w:rsid w:val="00AF2042"/>
    <w:rsid w:val="00AF2510"/>
    <w:rsid w:val="00AF272C"/>
    <w:rsid w:val="00AF291A"/>
    <w:rsid w:val="00AF2D9E"/>
    <w:rsid w:val="00AF37AA"/>
    <w:rsid w:val="00AF3A9E"/>
    <w:rsid w:val="00AF3D44"/>
    <w:rsid w:val="00AF4433"/>
    <w:rsid w:val="00AF497D"/>
    <w:rsid w:val="00AF54CA"/>
    <w:rsid w:val="00AF56C1"/>
    <w:rsid w:val="00AF59D7"/>
    <w:rsid w:val="00AF63F5"/>
    <w:rsid w:val="00AF6728"/>
    <w:rsid w:val="00AF6B62"/>
    <w:rsid w:val="00AF6C50"/>
    <w:rsid w:val="00AF6F3C"/>
    <w:rsid w:val="00AF7B9A"/>
    <w:rsid w:val="00B00E4A"/>
    <w:rsid w:val="00B010D0"/>
    <w:rsid w:val="00B01AE6"/>
    <w:rsid w:val="00B0269B"/>
    <w:rsid w:val="00B02E52"/>
    <w:rsid w:val="00B02F2A"/>
    <w:rsid w:val="00B02F38"/>
    <w:rsid w:val="00B02FCF"/>
    <w:rsid w:val="00B03005"/>
    <w:rsid w:val="00B041ED"/>
    <w:rsid w:val="00B041FB"/>
    <w:rsid w:val="00B04641"/>
    <w:rsid w:val="00B04B63"/>
    <w:rsid w:val="00B04C2A"/>
    <w:rsid w:val="00B05349"/>
    <w:rsid w:val="00B05815"/>
    <w:rsid w:val="00B07030"/>
    <w:rsid w:val="00B07408"/>
    <w:rsid w:val="00B07527"/>
    <w:rsid w:val="00B076E7"/>
    <w:rsid w:val="00B07956"/>
    <w:rsid w:val="00B07FD9"/>
    <w:rsid w:val="00B10367"/>
    <w:rsid w:val="00B10947"/>
    <w:rsid w:val="00B11A3D"/>
    <w:rsid w:val="00B12CF6"/>
    <w:rsid w:val="00B1311C"/>
    <w:rsid w:val="00B13A84"/>
    <w:rsid w:val="00B15098"/>
    <w:rsid w:val="00B15234"/>
    <w:rsid w:val="00B1542B"/>
    <w:rsid w:val="00B15555"/>
    <w:rsid w:val="00B1623F"/>
    <w:rsid w:val="00B167A4"/>
    <w:rsid w:val="00B16AA1"/>
    <w:rsid w:val="00B16D6A"/>
    <w:rsid w:val="00B170C5"/>
    <w:rsid w:val="00B17C00"/>
    <w:rsid w:val="00B17CFE"/>
    <w:rsid w:val="00B17FEE"/>
    <w:rsid w:val="00B200E1"/>
    <w:rsid w:val="00B20349"/>
    <w:rsid w:val="00B20D0B"/>
    <w:rsid w:val="00B218DF"/>
    <w:rsid w:val="00B21D51"/>
    <w:rsid w:val="00B22D7B"/>
    <w:rsid w:val="00B23397"/>
    <w:rsid w:val="00B23C31"/>
    <w:rsid w:val="00B23D65"/>
    <w:rsid w:val="00B2412E"/>
    <w:rsid w:val="00B248E5"/>
    <w:rsid w:val="00B24BD7"/>
    <w:rsid w:val="00B25311"/>
    <w:rsid w:val="00B2561C"/>
    <w:rsid w:val="00B2587E"/>
    <w:rsid w:val="00B260FD"/>
    <w:rsid w:val="00B26237"/>
    <w:rsid w:val="00B263C7"/>
    <w:rsid w:val="00B2656C"/>
    <w:rsid w:val="00B26D87"/>
    <w:rsid w:val="00B27196"/>
    <w:rsid w:val="00B276A0"/>
    <w:rsid w:val="00B27B24"/>
    <w:rsid w:val="00B27D44"/>
    <w:rsid w:val="00B3077E"/>
    <w:rsid w:val="00B3159F"/>
    <w:rsid w:val="00B31615"/>
    <w:rsid w:val="00B316A9"/>
    <w:rsid w:val="00B32288"/>
    <w:rsid w:val="00B327F4"/>
    <w:rsid w:val="00B32ACB"/>
    <w:rsid w:val="00B32F2A"/>
    <w:rsid w:val="00B3377B"/>
    <w:rsid w:val="00B3480E"/>
    <w:rsid w:val="00B34C59"/>
    <w:rsid w:val="00B34C74"/>
    <w:rsid w:val="00B35186"/>
    <w:rsid w:val="00B35BC0"/>
    <w:rsid w:val="00B36596"/>
    <w:rsid w:val="00B36DC7"/>
    <w:rsid w:val="00B36F7E"/>
    <w:rsid w:val="00B37389"/>
    <w:rsid w:val="00B37837"/>
    <w:rsid w:val="00B37A8C"/>
    <w:rsid w:val="00B37B65"/>
    <w:rsid w:val="00B404FF"/>
    <w:rsid w:val="00B40B1E"/>
    <w:rsid w:val="00B413BA"/>
    <w:rsid w:val="00B42133"/>
    <w:rsid w:val="00B426FD"/>
    <w:rsid w:val="00B42DB7"/>
    <w:rsid w:val="00B43C90"/>
    <w:rsid w:val="00B443E2"/>
    <w:rsid w:val="00B449FD"/>
    <w:rsid w:val="00B45C85"/>
    <w:rsid w:val="00B46792"/>
    <w:rsid w:val="00B46EF7"/>
    <w:rsid w:val="00B47088"/>
    <w:rsid w:val="00B473DB"/>
    <w:rsid w:val="00B501B5"/>
    <w:rsid w:val="00B503D2"/>
    <w:rsid w:val="00B504B6"/>
    <w:rsid w:val="00B51238"/>
    <w:rsid w:val="00B5287D"/>
    <w:rsid w:val="00B52A03"/>
    <w:rsid w:val="00B53209"/>
    <w:rsid w:val="00B538A5"/>
    <w:rsid w:val="00B53CD1"/>
    <w:rsid w:val="00B54D39"/>
    <w:rsid w:val="00B55AF3"/>
    <w:rsid w:val="00B5656D"/>
    <w:rsid w:val="00B56962"/>
    <w:rsid w:val="00B569EC"/>
    <w:rsid w:val="00B56FC3"/>
    <w:rsid w:val="00B5709A"/>
    <w:rsid w:val="00B60138"/>
    <w:rsid w:val="00B613E1"/>
    <w:rsid w:val="00B6162C"/>
    <w:rsid w:val="00B61B87"/>
    <w:rsid w:val="00B6255F"/>
    <w:rsid w:val="00B62BB3"/>
    <w:rsid w:val="00B6404C"/>
    <w:rsid w:val="00B641BC"/>
    <w:rsid w:val="00B64262"/>
    <w:rsid w:val="00B642F6"/>
    <w:rsid w:val="00B64CF0"/>
    <w:rsid w:val="00B64D54"/>
    <w:rsid w:val="00B64ECD"/>
    <w:rsid w:val="00B64F79"/>
    <w:rsid w:val="00B659F7"/>
    <w:rsid w:val="00B65A0A"/>
    <w:rsid w:val="00B65DDD"/>
    <w:rsid w:val="00B65F1E"/>
    <w:rsid w:val="00B66296"/>
    <w:rsid w:val="00B66CE6"/>
    <w:rsid w:val="00B67CFF"/>
    <w:rsid w:val="00B701B0"/>
    <w:rsid w:val="00B70765"/>
    <w:rsid w:val="00B71515"/>
    <w:rsid w:val="00B717FD"/>
    <w:rsid w:val="00B72547"/>
    <w:rsid w:val="00B727D1"/>
    <w:rsid w:val="00B72D51"/>
    <w:rsid w:val="00B73227"/>
    <w:rsid w:val="00B73387"/>
    <w:rsid w:val="00B74544"/>
    <w:rsid w:val="00B7485D"/>
    <w:rsid w:val="00B75480"/>
    <w:rsid w:val="00B7583F"/>
    <w:rsid w:val="00B7703E"/>
    <w:rsid w:val="00B8090C"/>
    <w:rsid w:val="00B80F42"/>
    <w:rsid w:val="00B81120"/>
    <w:rsid w:val="00B815B3"/>
    <w:rsid w:val="00B81A92"/>
    <w:rsid w:val="00B81B05"/>
    <w:rsid w:val="00B824F9"/>
    <w:rsid w:val="00B82AE5"/>
    <w:rsid w:val="00B82FFA"/>
    <w:rsid w:val="00B8329E"/>
    <w:rsid w:val="00B8402F"/>
    <w:rsid w:val="00B849DC"/>
    <w:rsid w:val="00B84F01"/>
    <w:rsid w:val="00B86DA6"/>
    <w:rsid w:val="00B86DF5"/>
    <w:rsid w:val="00B871BE"/>
    <w:rsid w:val="00B87235"/>
    <w:rsid w:val="00B87269"/>
    <w:rsid w:val="00B876CD"/>
    <w:rsid w:val="00B905E0"/>
    <w:rsid w:val="00B9080E"/>
    <w:rsid w:val="00B90AFC"/>
    <w:rsid w:val="00B90B37"/>
    <w:rsid w:val="00B90BC3"/>
    <w:rsid w:val="00B922B9"/>
    <w:rsid w:val="00B9253E"/>
    <w:rsid w:val="00B92E2B"/>
    <w:rsid w:val="00B92FA7"/>
    <w:rsid w:val="00B933AD"/>
    <w:rsid w:val="00B93516"/>
    <w:rsid w:val="00B93793"/>
    <w:rsid w:val="00B93EB3"/>
    <w:rsid w:val="00B94CDF"/>
    <w:rsid w:val="00B94E1F"/>
    <w:rsid w:val="00B950C7"/>
    <w:rsid w:val="00B956AB"/>
    <w:rsid w:val="00B9649F"/>
    <w:rsid w:val="00B96D43"/>
    <w:rsid w:val="00B96F60"/>
    <w:rsid w:val="00B97873"/>
    <w:rsid w:val="00BA1941"/>
    <w:rsid w:val="00BA30E3"/>
    <w:rsid w:val="00BA3139"/>
    <w:rsid w:val="00BA354B"/>
    <w:rsid w:val="00BA3E49"/>
    <w:rsid w:val="00BA3EB1"/>
    <w:rsid w:val="00BA3EE8"/>
    <w:rsid w:val="00BA4371"/>
    <w:rsid w:val="00BA4528"/>
    <w:rsid w:val="00BA4F8C"/>
    <w:rsid w:val="00BA54C8"/>
    <w:rsid w:val="00BA5A15"/>
    <w:rsid w:val="00BA5A6D"/>
    <w:rsid w:val="00BA621D"/>
    <w:rsid w:val="00BA6C81"/>
    <w:rsid w:val="00BA6CBA"/>
    <w:rsid w:val="00BA76C5"/>
    <w:rsid w:val="00BA7F8E"/>
    <w:rsid w:val="00BB1262"/>
    <w:rsid w:val="00BB13B6"/>
    <w:rsid w:val="00BB156E"/>
    <w:rsid w:val="00BB17E8"/>
    <w:rsid w:val="00BB1CB1"/>
    <w:rsid w:val="00BB23F3"/>
    <w:rsid w:val="00BB2500"/>
    <w:rsid w:val="00BB2A4D"/>
    <w:rsid w:val="00BB2DAA"/>
    <w:rsid w:val="00BB2FB7"/>
    <w:rsid w:val="00BB2FF8"/>
    <w:rsid w:val="00BB34A6"/>
    <w:rsid w:val="00BB3F3B"/>
    <w:rsid w:val="00BB42B4"/>
    <w:rsid w:val="00BB4733"/>
    <w:rsid w:val="00BB4785"/>
    <w:rsid w:val="00BB4F6D"/>
    <w:rsid w:val="00BB50EB"/>
    <w:rsid w:val="00BB550D"/>
    <w:rsid w:val="00BB593C"/>
    <w:rsid w:val="00BB608A"/>
    <w:rsid w:val="00BB6549"/>
    <w:rsid w:val="00BB6657"/>
    <w:rsid w:val="00BB7461"/>
    <w:rsid w:val="00BB75E8"/>
    <w:rsid w:val="00BC04F0"/>
    <w:rsid w:val="00BC1AD9"/>
    <w:rsid w:val="00BC236E"/>
    <w:rsid w:val="00BC27B0"/>
    <w:rsid w:val="00BC336F"/>
    <w:rsid w:val="00BC4516"/>
    <w:rsid w:val="00BC4C9E"/>
    <w:rsid w:val="00BC56C9"/>
    <w:rsid w:val="00BC6BA4"/>
    <w:rsid w:val="00BC71B4"/>
    <w:rsid w:val="00BD08BD"/>
    <w:rsid w:val="00BD0C06"/>
    <w:rsid w:val="00BD0DAF"/>
    <w:rsid w:val="00BD0E24"/>
    <w:rsid w:val="00BD1814"/>
    <w:rsid w:val="00BD1B34"/>
    <w:rsid w:val="00BD1B5A"/>
    <w:rsid w:val="00BD1F03"/>
    <w:rsid w:val="00BD304B"/>
    <w:rsid w:val="00BD37AE"/>
    <w:rsid w:val="00BD38EF"/>
    <w:rsid w:val="00BD3B16"/>
    <w:rsid w:val="00BD3EFD"/>
    <w:rsid w:val="00BD3F69"/>
    <w:rsid w:val="00BD435C"/>
    <w:rsid w:val="00BD586A"/>
    <w:rsid w:val="00BD730E"/>
    <w:rsid w:val="00BD7552"/>
    <w:rsid w:val="00BD7DD8"/>
    <w:rsid w:val="00BE0DA6"/>
    <w:rsid w:val="00BE1A1F"/>
    <w:rsid w:val="00BE210A"/>
    <w:rsid w:val="00BE22B2"/>
    <w:rsid w:val="00BE24BB"/>
    <w:rsid w:val="00BE269A"/>
    <w:rsid w:val="00BE290A"/>
    <w:rsid w:val="00BE2A57"/>
    <w:rsid w:val="00BE30FA"/>
    <w:rsid w:val="00BE335E"/>
    <w:rsid w:val="00BE35B8"/>
    <w:rsid w:val="00BE35DE"/>
    <w:rsid w:val="00BE362B"/>
    <w:rsid w:val="00BE485E"/>
    <w:rsid w:val="00BE49FF"/>
    <w:rsid w:val="00BE53FD"/>
    <w:rsid w:val="00BE5C71"/>
    <w:rsid w:val="00BE6C93"/>
    <w:rsid w:val="00BE7790"/>
    <w:rsid w:val="00BF08BE"/>
    <w:rsid w:val="00BF0D41"/>
    <w:rsid w:val="00BF19DF"/>
    <w:rsid w:val="00BF2477"/>
    <w:rsid w:val="00BF25D9"/>
    <w:rsid w:val="00BF2EFB"/>
    <w:rsid w:val="00BF31BA"/>
    <w:rsid w:val="00BF3470"/>
    <w:rsid w:val="00BF4529"/>
    <w:rsid w:val="00BF47DA"/>
    <w:rsid w:val="00BF4D42"/>
    <w:rsid w:val="00BF5C75"/>
    <w:rsid w:val="00BF61B4"/>
    <w:rsid w:val="00BF62A2"/>
    <w:rsid w:val="00BF6AD2"/>
    <w:rsid w:val="00BF7531"/>
    <w:rsid w:val="00BF77B9"/>
    <w:rsid w:val="00BF7AE9"/>
    <w:rsid w:val="00C00769"/>
    <w:rsid w:val="00C01249"/>
    <w:rsid w:val="00C01730"/>
    <w:rsid w:val="00C025B0"/>
    <w:rsid w:val="00C02AF7"/>
    <w:rsid w:val="00C031C4"/>
    <w:rsid w:val="00C04466"/>
    <w:rsid w:val="00C04AAD"/>
    <w:rsid w:val="00C04C98"/>
    <w:rsid w:val="00C05EF1"/>
    <w:rsid w:val="00C06FEA"/>
    <w:rsid w:val="00C0730E"/>
    <w:rsid w:val="00C07A40"/>
    <w:rsid w:val="00C07BAD"/>
    <w:rsid w:val="00C07BCF"/>
    <w:rsid w:val="00C10427"/>
    <w:rsid w:val="00C110AE"/>
    <w:rsid w:val="00C11D18"/>
    <w:rsid w:val="00C11F3B"/>
    <w:rsid w:val="00C12268"/>
    <w:rsid w:val="00C1227F"/>
    <w:rsid w:val="00C136AB"/>
    <w:rsid w:val="00C136F8"/>
    <w:rsid w:val="00C13739"/>
    <w:rsid w:val="00C13823"/>
    <w:rsid w:val="00C1384D"/>
    <w:rsid w:val="00C13F73"/>
    <w:rsid w:val="00C14655"/>
    <w:rsid w:val="00C146F7"/>
    <w:rsid w:val="00C1494C"/>
    <w:rsid w:val="00C14C1A"/>
    <w:rsid w:val="00C15718"/>
    <w:rsid w:val="00C159B1"/>
    <w:rsid w:val="00C17415"/>
    <w:rsid w:val="00C17F24"/>
    <w:rsid w:val="00C200AA"/>
    <w:rsid w:val="00C2079E"/>
    <w:rsid w:val="00C20EDE"/>
    <w:rsid w:val="00C20FE8"/>
    <w:rsid w:val="00C214EE"/>
    <w:rsid w:val="00C21BE9"/>
    <w:rsid w:val="00C21E44"/>
    <w:rsid w:val="00C21FA4"/>
    <w:rsid w:val="00C22056"/>
    <w:rsid w:val="00C2347C"/>
    <w:rsid w:val="00C23652"/>
    <w:rsid w:val="00C237F6"/>
    <w:rsid w:val="00C23D4A"/>
    <w:rsid w:val="00C242A3"/>
    <w:rsid w:val="00C24395"/>
    <w:rsid w:val="00C255E4"/>
    <w:rsid w:val="00C26517"/>
    <w:rsid w:val="00C26849"/>
    <w:rsid w:val="00C26BAF"/>
    <w:rsid w:val="00C26C27"/>
    <w:rsid w:val="00C300AE"/>
    <w:rsid w:val="00C303B4"/>
    <w:rsid w:val="00C307B4"/>
    <w:rsid w:val="00C31B4E"/>
    <w:rsid w:val="00C325AF"/>
    <w:rsid w:val="00C33762"/>
    <w:rsid w:val="00C33CA1"/>
    <w:rsid w:val="00C3474A"/>
    <w:rsid w:val="00C34D6A"/>
    <w:rsid w:val="00C35F88"/>
    <w:rsid w:val="00C36CD6"/>
    <w:rsid w:val="00C36E53"/>
    <w:rsid w:val="00C37512"/>
    <w:rsid w:val="00C37CE1"/>
    <w:rsid w:val="00C37ED3"/>
    <w:rsid w:val="00C40CCC"/>
    <w:rsid w:val="00C40D0E"/>
    <w:rsid w:val="00C417C8"/>
    <w:rsid w:val="00C4229A"/>
    <w:rsid w:val="00C42D67"/>
    <w:rsid w:val="00C43AC3"/>
    <w:rsid w:val="00C43D30"/>
    <w:rsid w:val="00C44245"/>
    <w:rsid w:val="00C44499"/>
    <w:rsid w:val="00C444BE"/>
    <w:rsid w:val="00C4450D"/>
    <w:rsid w:val="00C45270"/>
    <w:rsid w:val="00C4576A"/>
    <w:rsid w:val="00C45C25"/>
    <w:rsid w:val="00C45C61"/>
    <w:rsid w:val="00C45D9F"/>
    <w:rsid w:val="00C46158"/>
    <w:rsid w:val="00C46A08"/>
    <w:rsid w:val="00C479B7"/>
    <w:rsid w:val="00C47AD1"/>
    <w:rsid w:val="00C5009E"/>
    <w:rsid w:val="00C50175"/>
    <w:rsid w:val="00C50447"/>
    <w:rsid w:val="00C515A9"/>
    <w:rsid w:val="00C51EE9"/>
    <w:rsid w:val="00C520DF"/>
    <w:rsid w:val="00C52C9F"/>
    <w:rsid w:val="00C536F3"/>
    <w:rsid w:val="00C53FA6"/>
    <w:rsid w:val="00C551E4"/>
    <w:rsid w:val="00C55696"/>
    <w:rsid w:val="00C609CC"/>
    <w:rsid w:val="00C60F0F"/>
    <w:rsid w:val="00C617C1"/>
    <w:rsid w:val="00C61FCD"/>
    <w:rsid w:val="00C62B06"/>
    <w:rsid w:val="00C62BFF"/>
    <w:rsid w:val="00C62C88"/>
    <w:rsid w:val="00C62F2A"/>
    <w:rsid w:val="00C633A8"/>
    <w:rsid w:val="00C634DF"/>
    <w:rsid w:val="00C63833"/>
    <w:rsid w:val="00C6449B"/>
    <w:rsid w:val="00C64833"/>
    <w:rsid w:val="00C64CCE"/>
    <w:rsid w:val="00C64E9C"/>
    <w:rsid w:val="00C65247"/>
    <w:rsid w:val="00C656BA"/>
    <w:rsid w:val="00C66200"/>
    <w:rsid w:val="00C6629B"/>
    <w:rsid w:val="00C664AE"/>
    <w:rsid w:val="00C6653F"/>
    <w:rsid w:val="00C665F6"/>
    <w:rsid w:val="00C66FC5"/>
    <w:rsid w:val="00C675F6"/>
    <w:rsid w:val="00C7012A"/>
    <w:rsid w:val="00C7084B"/>
    <w:rsid w:val="00C713C9"/>
    <w:rsid w:val="00C7194F"/>
    <w:rsid w:val="00C71D10"/>
    <w:rsid w:val="00C725BE"/>
    <w:rsid w:val="00C726A4"/>
    <w:rsid w:val="00C72752"/>
    <w:rsid w:val="00C73775"/>
    <w:rsid w:val="00C73F98"/>
    <w:rsid w:val="00C747FA"/>
    <w:rsid w:val="00C74F6B"/>
    <w:rsid w:val="00C76002"/>
    <w:rsid w:val="00C77459"/>
    <w:rsid w:val="00C776BE"/>
    <w:rsid w:val="00C77880"/>
    <w:rsid w:val="00C80202"/>
    <w:rsid w:val="00C80569"/>
    <w:rsid w:val="00C80AFA"/>
    <w:rsid w:val="00C80F3B"/>
    <w:rsid w:val="00C81347"/>
    <w:rsid w:val="00C81415"/>
    <w:rsid w:val="00C818E7"/>
    <w:rsid w:val="00C823A8"/>
    <w:rsid w:val="00C8280D"/>
    <w:rsid w:val="00C83062"/>
    <w:rsid w:val="00C838FE"/>
    <w:rsid w:val="00C84D45"/>
    <w:rsid w:val="00C85484"/>
    <w:rsid w:val="00C85900"/>
    <w:rsid w:val="00C85FCF"/>
    <w:rsid w:val="00C8694F"/>
    <w:rsid w:val="00C902F1"/>
    <w:rsid w:val="00C90DBA"/>
    <w:rsid w:val="00C90DCE"/>
    <w:rsid w:val="00C9112B"/>
    <w:rsid w:val="00C9150A"/>
    <w:rsid w:val="00C9152C"/>
    <w:rsid w:val="00C91530"/>
    <w:rsid w:val="00C916D7"/>
    <w:rsid w:val="00C91E1B"/>
    <w:rsid w:val="00C91FAF"/>
    <w:rsid w:val="00C91FCE"/>
    <w:rsid w:val="00C9213B"/>
    <w:rsid w:val="00C92298"/>
    <w:rsid w:val="00C92385"/>
    <w:rsid w:val="00C92766"/>
    <w:rsid w:val="00C92EF4"/>
    <w:rsid w:val="00C93067"/>
    <w:rsid w:val="00C933C4"/>
    <w:rsid w:val="00C935E3"/>
    <w:rsid w:val="00C941D5"/>
    <w:rsid w:val="00C94225"/>
    <w:rsid w:val="00C9454A"/>
    <w:rsid w:val="00C950AC"/>
    <w:rsid w:val="00C95B4B"/>
    <w:rsid w:val="00C9613A"/>
    <w:rsid w:val="00C96158"/>
    <w:rsid w:val="00C9691C"/>
    <w:rsid w:val="00C97019"/>
    <w:rsid w:val="00C971CE"/>
    <w:rsid w:val="00C972E9"/>
    <w:rsid w:val="00C97804"/>
    <w:rsid w:val="00C97A3A"/>
    <w:rsid w:val="00C97C8A"/>
    <w:rsid w:val="00C97F7A"/>
    <w:rsid w:val="00CA0A30"/>
    <w:rsid w:val="00CA0FF0"/>
    <w:rsid w:val="00CA1387"/>
    <w:rsid w:val="00CA1794"/>
    <w:rsid w:val="00CA28E4"/>
    <w:rsid w:val="00CA2BA1"/>
    <w:rsid w:val="00CA35F1"/>
    <w:rsid w:val="00CA46C6"/>
    <w:rsid w:val="00CA4998"/>
    <w:rsid w:val="00CA5DE6"/>
    <w:rsid w:val="00CA6329"/>
    <w:rsid w:val="00CA6381"/>
    <w:rsid w:val="00CA6E0C"/>
    <w:rsid w:val="00CA6E45"/>
    <w:rsid w:val="00CA712B"/>
    <w:rsid w:val="00CA7217"/>
    <w:rsid w:val="00CA72F1"/>
    <w:rsid w:val="00CB1878"/>
    <w:rsid w:val="00CB1A14"/>
    <w:rsid w:val="00CB1C7E"/>
    <w:rsid w:val="00CB1CF0"/>
    <w:rsid w:val="00CB2493"/>
    <w:rsid w:val="00CB2DF9"/>
    <w:rsid w:val="00CB3185"/>
    <w:rsid w:val="00CB36AA"/>
    <w:rsid w:val="00CB3712"/>
    <w:rsid w:val="00CB3720"/>
    <w:rsid w:val="00CB39C9"/>
    <w:rsid w:val="00CB3A7B"/>
    <w:rsid w:val="00CB4490"/>
    <w:rsid w:val="00CB4712"/>
    <w:rsid w:val="00CB4AF1"/>
    <w:rsid w:val="00CB5857"/>
    <w:rsid w:val="00CB5A59"/>
    <w:rsid w:val="00CC0B6F"/>
    <w:rsid w:val="00CC0D3B"/>
    <w:rsid w:val="00CC10D1"/>
    <w:rsid w:val="00CC2003"/>
    <w:rsid w:val="00CC3135"/>
    <w:rsid w:val="00CC34DC"/>
    <w:rsid w:val="00CC35AB"/>
    <w:rsid w:val="00CC376D"/>
    <w:rsid w:val="00CC423B"/>
    <w:rsid w:val="00CC544A"/>
    <w:rsid w:val="00CC54DC"/>
    <w:rsid w:val="00CC5A42"/>
    <w:rsid w:val="00CC64E8"/>
    <w:rsid w:val="00CC6CB2"/>
    <w:rsid w:val="00CC6E32"/>
    <w:rsid w:val="00CC75EF"/>
    <w:rsid w:val="00CC7BE3"/>
    <w:rsid w:val="00CD01D9"/>
    <w:rsid w:val="00CD0B0D"/>
    <w:rsid w:val="00CD1111"/>
    <w:rsid w:val="00CD1B3C"/>
    <w:rsid w:val="00CD221E"/>
    <w:rsid w:val="00CD32A2"/>
    <w:rsid w:val="00CD388F"/>
    <w:rsid w:val="00CD468B"/>
    <w:rsid w:val="00CD48B0"/>
    <w:rsid w:val="00CD4BE1"/>
    <w:rsid w:val="00CD4CBC"/>
    <w:rsid w:val="00CD4E15"/>
    <w:rsid w:val="00CD5821"/>
    <w:rsid w:val="00CD5FC0"/>
    <w:rsid w:val="00CD5FFA"/>
    <w:rsid w:val="00CD61D4"/>
    <w:rsid w:val="00CD669A"/>
    <w:rsid w:val="00CE077E"/>
    <w:rsid w:val="00CE08D6"/>
    <w:rsid w:val="00CE0A1A"/>
    <w:rsid w:val="00CE0A2D"/>
    <w:rsid w:val="00CE1097"/>
    <w:rsid w:val="00CE1272"/>
    <w:rsid w:val="00CE13C8"/>
    <w:rsid w:val="00CE16A1"/>
    <w:rsid w:val="00CE174A"/>
    <w:rsid w:val="00CE17C0"/>
    <w:rsid w:val="00CE18E0"/>
    <w:rsid w:val="00CE1FDD"/>
    <w:rsid w:val="00CE27A5"/>
    <w:rsid w:val="00CE29D5"/>
    <w:rsid w:val="00CE2B2B"/>
    <w:rsid w:val="00CE2D4E"/>
    <w:rsid w:val="00CE30F2"/>
    <w:rsid w:val="00CE31F2"/>
    <w:rsid w:val="00CE3275"/>
    <w:rsid w:val="00CE37B0"/>
    <w:rsid w:val="00CE37B7"/>
    <w:rsid w:val="00CE3917"/>
    <w:rsid w:val="00CE3A0F"/>
    <w:rsid w:val="00CE3A8F"/>
    <w:rsid w:val="00CE515B"/>
    <w:rsid w:val="00CE5708"/>
    <w:rsid w:val="00CE5C2F"/>
    <w:rsid w:val="00CE5F58"/>
    <w:rsid w:val="00CE62AB"/>
    <w:rsid w:val="00CE6D6C"/>
    <w:rsid w:val="00CE77B6"/>
    <w:rsid w:val="00CF0309"/>
    <w:rsid w:val="00CF0934"/>
    <w:rsid w:val="00CF0DB0"/>
    <w:rsid w:val="00CF15D5"/>
    <w:rsid w:val="00CF16AB"/>
    <w:rsid w:val="00CF1890"/>
    <w:rsid w:val="00CF1A1E"/>
    <w:rsid w:val="00CF2A57"/>
    <w:rsid w:val="00CF2C2C"/>
    <w:rsid w:val="00CF2FE8"/>
    <w:rsid w:val="00CF32AD"/>
    <w:rsid w:val="00CF3D1A"/>
    <w:rsid w:val="00CF447F"/>
    <w:rsid w:val="00CF4D3D"/>
    <w:rsid w:val="00CF4F7A"/>
    <w:rsid w:val="00CF53B3"/>
    <w:rsid w:val="00CF582A"/>
    <w:rsid w:val="00CF64F7"/>
    <w:rsid w:val="00CF681E"/>
    <w:rsid w:val="00CF7721"/>
    <w:rsid w:val="00CF7901"/>
    <w:rsid w:val="00D00FE4"/>
    <w:rsid w:val="00D024E1"/>
    <w:rsid w:val="00D0265D"/>
    <w:rsid w:val="00D027B4"/>
    <w:rsid w:val="00D02B02"/>
    <w:rsid w:val="00D03198"/>
    <w:rsid w:val="00D034FA"/>
    <w:rsid w:val="00D03F6A"/>
    <w:rsid w:val="00D0449C"/>
    <w:rsid w:val="00D04821"/>
    <w:rsid w:val="00D04BC7"/>
    <w:rsid w:val="00D057F0"/>
    <w:rsid w:val="00D05969"/>
    <w:rsid w:val="00D05BF8"/>
    <w:rsid w:val="00D05E75"/>
    <w:rsid w:val="00D0751E"/>
    <w:rsid w:val="00D0779C"/>
    <w:rsid w:val="00D0792C"/>
    <w:rsid w:val="00D07BB6"/>
    <w:rsid w:val="00D10038"/>
    <w:rsid w:val="00D10117"/>
    <w:rsid w:val="00D10595"/>
    <w:rsid w:val="00D1063E"/>
    <w:rsid w:val="00D10FC2"/>
    <w:rsid w:val="00D11AA6"/>
    <w:rsid w:val="00D1200A"/>
    <w:rsid w:val="00D120E7"/>
    <w:rsid w:val="00D1277E"/>
    <w:rsid w:val="00D1299A"/>
    <w:rsid w:val="00D138D1"/>
    <w:rsid w:val="00D13DF0"/>
    <w:rsid w:val="00D13EBC"/>
    <w:rsid w:val="00D14306"/>
    <w:rsid w:val="00D14FD3"/>
    <w:rsid w:val="00D1506F"/>
    <w:rsid w:val="00D15FBD"/>
    <w:rsid w:val="00D16A18"/>
    <w:rsid w:val="00D16A65"/>
    <w:rsid w:val="00D20691"/>
    <w:rsid w:val="00D2074A"/>
    <w:rsid w:val="00D20A42"/>
    <w:rsid w:val="00D20FCA"/>
    <w:rsid w:val="00D21DE6"/>
    <w:rsid w:val="00D22682"/>
    <w:rsid w:val="00D24751"/>
    <w:rsid w:val="00D25117"/>
    <w:rsid w:val="00D255A1"/>
    <w:rsid w:val="00D25C65"/>
    <w:rsid w:val="00D262E6"/>
    <w:rsid w:val="00D2633A"/>
    <w:rsid w:val="00D265AF"/>
    <w:rsid w:val="00D26F44"/>
    <w:rsid w:val="00D272E4"/>
    <w:rsid w:val="00D3037F"/>
    <w:rsid w:val="00D30DAB"/>
    <w:rsid w:val="00D31034"/>
    <w:rsid w:val="00D31273"/>
    <w:rsid w:val="00D32D50"/>
    <w:rsid w:val="00D33CD4"/>
    <w:rsid w:val="00D33EE2"/>
    <w:rsid w:val="00D341CA"/>
    <w:rsid w:val="00D347D4"/>
    <w:rsid w:val="00D3594C"/>
    <w:rsid w:val="00D35BF5"/>
    <w:rsid w:val="00D36280"/>
    <w:rsid w:val="00D36A6D"/>
    <w:rsid w:val="00D36A70"/>
    <w:rsid w:val="00D37023"/>
    <w:rsid w:val="00D37FF0"/>
    <w:rsid w:val="00D40549"/>
    <w:rsid w:val="00D406B1"/>
    <w:rsid w:val="00D4201A"/>
    <w:rsid w:val="00D424A0"/>
    <w:rsid w:val="00D42596"/>
    <w:rsid w:val="00D43AA8"/>
    <w:rsid w:val="00D43F41"/>
    <w:rsid w:val="00D43FB3"/>
    <w:rsid w:val="00D4414F"/>
    <w:rsid w:val="00D441AE"/>
    <w:rsid w:val="00D44AD3"/>
    <w:rsid w:val="00D44FD4"/>
    <w:rsid w:val="00D4505C"/>
    <w:rsid w:val="00D45223"/>
    <w:rsid w:val="00D45A44"/>
    <w:rsid w:val="00D45F79"/>
    <w:rsid w:val="00D46E4B"/>
    <w:rsid w:val="00D47579"/>
    <w:rsid w:val="00D50121"/>
    <w:rsid w:val="00D513D2"/>
    <w:rsid w:val="00D51D44"/>
    <w:rsid w:val="00D52441"/>
    <w:rsid w:val="00D5254F"/>
    <w:rsid w:val="00D53018"/>
    <w:rsid w:val="00D5358E"/>
    <w:rsid w:val="00D53980"/>
    <w:rsid w:val="00D53C19"/>
    <w:rsid w:val="00D5447F"/>
    <w:rsid w:val="00D54725"/>
    <w:rsid w:val="00D54D9E"/>
    <w:rsid w:val="00D553D1"/>
    <w:rsid w:val="00D56112"/>
    <w:rsid w:val="00D56209"/>
    <w:rsid w:val="00D56AB2"/>
    <w:rsid w:val="00D56F15"/>
    <w:rsid w:val="00D5700A"/>
    <w:rsid w:val="00D602EF"/>
    <w:rsid w:val="00D61169"/>
    <w:rsid w:val="00D612E1"/>
    <w:rsid w:val="00D61450"/>
    <w:rsid w:val="00D62821"/>
    <w:rsid w:val="00D62D88"/>
    <w:rsid w:val="00D62EDC"/>
    <w:rsid w:val="00D632BC"/>
    <w:rsid w:val="00D63A03"/>
    <w:rsid w:val="00D6433B"/>
    <w:rsid w:val="00D6468B"/>
    <w:rsid w:val="00D64831"/>
    <w:rsid w:val="00D64E79"/>
    <w:rsid w:val="00D6519E"/>
    <w:rsid w:val="00D658F4"/>
    <w:rsid w:val="00D65B48"/>
    <w:rsid w:val="00D66A00"/>
    <w:rsid w:val="00D673D2"/>
    <w:rsid w:val="00D67FF4"/>
    <w:rsid w:val="00D7028B"/>
    <w:rsid w:val="00D705F4"/>
    <w:rsid w:val="00D70843"/>
    <w:rsid w:val="00D71186"/>
    <w:rsid w:val="00D7118E"/>
    <w:rsid w:val="00D71A43"/>
    <w:rsid w:val="00D71BB6"/>
    <w:rsid w:val="00D71FD6"/>
    <w:rsid w:val="00D72180"/>
    <w:rsid w:val="00D72CD0"/>
    <w:rsid w:val="00D72D7B"/>
    <w:rsid w:val="00D73B11"/>
    <w:rsid w:val="00D73C3A"/>
    <w:rsid w:val="00D73E36"/>
    <w:rsid w:val="00D7489B"/>
    <w:rsid w:val="00D74EC5"/>
    <w:rsid w:val="00D7502E"/>
    <w:rsid w:val="00D766C2"/>
    <w:rsid w:val="00D76C3A"/>
    <w:rsid w:val="00D76F82"/>
    <w:rsid w:val="00D80606"/>
    <w:rsid w:val="00D80D9A"/>
    <w:rsid w:val="00D80E7D"/>
    <w:rsid w:val="00D81807"/>
    <w:rsid w:val="00D81A4C"/>
    <w:rsid w:val="00D81E61"/>
    <w:rsid w:val="00D824FA"/>
    <w:rsid w:val="00D8286E"/>
    <w:rsid w:val="00D830A2"/>
    <w:rsid w:val="00D831B3"/>
    <w:rsid w:val="00D83B8E"/>
    <w:rsid w:val="00D83F01"/>
    <w:rsid w:val="00D84BA7"/>
    <w:rsid w:val="00D84C09"/>
    <w:rsid w:val="00D86226"/>
    <w:rsid w:val="00D8651E"/>
    <w:rsid w:val="00D86B4B"/>
    <w:rsid w:val="00D86B8C"/>
    <w:rsid w:val="00D86CE4"/>
    <w:rsid w:val="00D86D5D"/>
    <w:rsid w:val="00D870A5"/>
    <w:rsid w:val="00D87750"/>
    <w:rsid w:val="00D87889"/>
    <w:rsid w:val="00D87BB1"/>
    <w:rsid w:val="00D87FFC"/>
    <w:rsid w:val="00D90897"/>
    <w:rsid w:val="00D90A26"/>
    <w:rsid w:val="00D90CF4"/>
    <w:rsid w:val="00D921DC"/>
    <w:rsid w:val="00D92AAE"/>
    <w:rsid w:val="00D92D74"/>
    <w:rsid w:val="00D92F4F"/>
    <w:rsid w:val="00D936DC"/>
    <w:rsid w:val="00D93765"/>
    <w:rsid w:val="00D9450D"/>
    <w:rsid w:val="00D94708"/>
    <w:rsid w:val="00D949BE"/>
    <w:rsid w:val="00D94B1D"/>
    <w:rsid w:val="00D95455"/>
    <w:rsid w:val="00D956E1"/>
    <w:rsid w:val="00D95767"/>
    <w:rsid w:val="00D95A59"/>
    <w:rsid w:val="00D96361"/>
    <w:rsid w:val="00D965F8"/>
    <w:rsid w:val="00D96DF2"/>
    <w:rsid w:val="00D9724C"/>
    <w:rsid w:val="00D97FFD"/>
    <w:rsid w:val="00DA03C1"/>
    <w:rsid w:val="00DA0518"/>
    <w:rsid w:val="00DA0B19"/>
    <w:rsid w:val="00DA0C9E"/>
    <w:rsid w:val="00DA0D3E"/>
    <w:rsid w:val="00DA1243"/>
    <w:rsid w:val="00DA1806"/>
    <w:rsid w:val="00DA246C"/>
    <w:rsid w:val="00DA260F"/>
    <w:rsid w:val="00DA2A77"/>
    <w:rsid w:val="00DA2DDC"/>
    <w:rsid w:val="00DA3729"/>
    <w:rsid w:val="00DA3962"/>
    <w:rsid w:val="00DA39A8"/>
    <w:rsid w:val="00DA46AB"/>
    <w:rsid w:val="00DA48D4"/>
    <w:rsid w:val="00DA4B8C"/>
    <w:rsid w:val="00DA4E59"/>
    <w:rsid w:val="00DA5F9F"/>
    <w:rsid w:val="00DA64E6"/>
    <w:rsid w:val="00DA667C"/>
    <w:rsid w:val="00DA674B"/>
    <w:rsid w:val="00DA674E"/>
    <w:rsid w:val="00DA6DB7"/>
    <w:rsid w:val="00DA7A18"/>
    <w:rsid w:val="00DA7AEC"/>
    <w:rsid w:val="00DA7CB1"/>
    <w:rsid w:val="00DA7F4C"/>
    <w:rsid w:val="00DB0808"/>
    <w:rsid w:val="00DB096E"/>
    <w:rsid w:val="00DB0B2F"/>
    <w:rsid w:val="00DB1154"/>
    <w:rsid w:val="00DB1BC1"/>
    <w:rsid w:val="00DB2479"/>
    <w:rsid w:val="00DB3520"/>
    <w:rsid w:val="00DB3E17"/>
    <w:rsid w:val="00DB46E0"/>
    <w:rsid w:val="00DB5C30"/>
    <w:rsid w:val="00DB5FC8"/>
    <w:rsid w:val="00DB5FD1"/>
    <w:rsid w:val="00DB6682"/>
    <w:rsid w:val="00DB726F"/>
    <w:rsid w:val="00DB7EA1"/>
    <w:rsid w:val="00DC0037"/>
    <w:rsid w:val="00DC0FE0"/>
    <w:rsid w:val="00DC1A27"/>
    <w:rsid w:val="00DC1D9E"/>
    <w:rsid w:val="00DC229B"/>
    <w:rsid w:val="00DC35D7"/>
    <w:rsid w:val="00DC35E8"/>
    <w:rsid w:val="00DC3659"/>
    <w:rsid w:val="00DC3888"/>
    <w:rsid w:val="00DC3A1D"/>
    <w:rsid w:val="00DC3F41"/>
    <w:rsid w:val="00DC479C"/>
    <w:rsid w:val="00DC5425"/>
    <w:rsid w:val="00DC5644"/>
    <w:rsid w:val="00DC5857"/>
    <w:rsid w:val="00DC5ADE"/>
    <w:rsid w:val="00DC5E43"/>
    <w:rsid w:val="00DC652F"/>
    <w:rsid w:val="00DC65B5"/>
    <w:rsid w:val="00DC6642"/>
    <w:rsid w:val="00DC74F9"/>
    <w:rsid w:val="00DC7A81"/>
    <w:rsid w:val="00DC7B88"/>
    <w:rsid w:val="00DD0060"/>
    <w:rsid w:val="00DD066D"/>
    <w:rsid w:val="00DD07B9"/>
    <w:rsid w:val="00DD13FE"/>
    <w:rsid w:val="00DD1D07"/>
    <w:rsid w:val="00DD1FA1"/>
    <w:rsid w:val="00DD2424"/>
    <w:rsid w:val="00DD3104"/>
    <w:rsid w:val="00DD310F"/>
    <w:rsid w:val="00DD3345"/>
    <w:rsid w:val="00DD419B"/>
    <w:rsid w:val="00DD4C40"/>
    <w:rsid w:val="00DD4EA2"/>
    <w:rsid w:val="00DD53B9"/>
    <w:rsid w:val="00DD598D"/>
    <w:rsid w:val="00DD5A6B"/>
    <w:rsid w:val="00DD5E1B"/>
    <w:rsid w:val="00DD603B"/>
    <w:rsid w:val="00DD6751"/>
    <w:rsid w:val="00DD6794"/>
    <w:rsid w:val="00DD6AA0"/>
    <w:rsid w:val="00DD7460"/>
    <w:rsid w:val="00DD7887"/>
    <w:rsid w:val="00DD7ABA"/>
    <w:rsid w:val="00DD7D2C"/>
    <w:rsid w:val="00DE130E"/>
    <w:rsid w:val="00DE1A62"/>
    <w:rsid w:val="00DE1AFE"/>
    <w:rsid w:val="00DE2446"/>
    <w:rsid w:val="00DE31B0"/>
    <w:rsid w:val="00DE33F1"/>
    <w:rsid w:val="00DE3926"/>
    <w:rsid w:val="00DE3CE7"/>
    <w:rsid w:val="00DE3F7D"/>
    <w:rsid w:val="00DE41B0"/>
    <w:rsid w:val="00DE4274"/>
    <w:rsid w:val="00DE4EB5"/>
    <w:rsid w:val="00DE53DD"/>
    <w:rsid w:val="00DE5702"/>
    <w:rsid w:val="00DE5784"/>
    <w:rsid w:val="00DE581C"/>
    <w:rsid w:val="00DE5A32"/>
    <w:rsid w:val="00DE5D6A"/>
    <w:rsid w:val="00DE690A"/>
    <w:rsid w:val="00DE7753"/>
    <w:rsid w:val="00DE7EAF"/>
    <w:rsid w:val="00DF1271"/>
    <w:rsid w:val="00DF1E06"/>
    <w:rsid w:val="00DF218F"/>
    <w:rsid w:val="00DF269A"/>
    <w:rsid w:val="00DF2B1A"/>
    <w:rsid w:val="00DF379A"/>
    <w:rsid w:val="00DF45D2"/>
    <w:rsid w:val="00DF46EC"/>
    <w:rsid w:val="00DF4AE0"/>
    <w:rsid w:val="00DF53AA"/>
    <w:rsid w:val="00DF6548"/>
    <w:rsid w:val="00DF67CC"/>
    <w:rsid w:val="00DF7081"/>
    <w:rsid w:val="00DF7372"/>
    <w:rsid w:val="00DF7A55"/>
    <w:rsid w:val="00DF7BC7"/>
    <w:rsid w:val="00E0021F"/>
    <w:rsid w:val="00E0029F"/>
    <w:rsid w:val="00E0095A"/>
    <w:rsid w:val="00E01B4C"/>
    <w:rsid w:val="00E020BB"/>
    <w:rsid w:val="00E021CF"/>
    <w:rsid w:val="00E02752"/>
    <w:rsid w:val="00E02BF4"/>
    <w:rsid w:val="00E02CC2"/>
    <w:rsid w:val="00E03585"/>
    <w:rsid w:val="00E03BD6"/>
    <w:rsid w:val="00E03D93"/>
    <w:rsid w:val="00E03EDE"/>
    <w:rsid w:val="00E0414F"/>
    <w:rsid w:val="00E0494C"/>
    <w:rsid w:val="00E04D06"/>
    <w:rsid w:val="00E04FBD"/>
    <w:rsid w:val="00E05104"/>
    <w:rsid w:val="00E053A1"/>
    <w:rsid w:val="00E05964"/>
    <w:rsid w:val="00E061D5"/>
    <w:rsid w:val="00E0689B"/>
    <w:rsid w:val="00E06D6D"/>
    <w:rsid w:val="00E06F05"/>
    <w:rsid w:val="00E07625"/>
    <w:rsid w:val="00E07AD9"/>
    <w:rsid w:val="00E07B44"/>
    <w:rsid w:val="00E07F2D"/>
    <w:rsid w:val="00E10720"/>
    <w:rsid w:val="00E1089D"/>
    <w:rsid w:val="00E10DCC"/>
    <w:rsid w:val="00E12780"/>
    <w:rsid w:val="00E12848"/>
    <w:rsid w:val="00E12E9D"/>
    <w:rsid w:val="00E130A7"/>
    <w:rsid w:val="00E13412"/>
    <w:rsid w:val="00E13901"/>
    <w:rsid w:val="00E13AA8"/>
    <w:rsid w:val="00E13AE9"/>
    <w:rsid w:val="00E15E9C"/>
    <w:rsid w:val="00E161E7"/>
    <w:rsid w:val="00E165ED"/>
    <w:rsid w:val="00E17246"/>
    <w:rsid w:val="00E174AA"/>
    <w:rsid w:val="00E178A5"/>
    <w:rsid w:val="00E17BD3"/>
    <w:rsid w:val="00E20797"/>
    <w:rsid w:val="00E21BB9"/>
    <w:rsid w:val="00E22668"/>
    <w:rsid w:val="00E23CE6"/>
    <w:rsid w:val="00E23E84"/>
    <w:rsid w:val="00E243E0"/>
    <w:rsid w:val="00E2570E"/>
    <w:rsid w:val="00E25F59"/>
    <w:rsid w:val="00E27675"/>
    <w:rsid w:val="00E27A1F"/>
    <w:rsid w:val="00E27C17"/>
    <w:rsid w:val="00E27CAC"/>
    <w:rsid w:val="00E3027A"/>
    <w:rsid w:val="00E3087E"/>
    <w:rsid w:val="00E30919"/>
    <w:rsid w:val="00E31024"/>
    <w:rsid w:val="00E31B7E"/>
    <w:rsid w:val="00E31E23"/>
    <w:rsid w:val="00E31FDC"/>
    <w:rsid w:val="00E32BBE"/>
    <w:rsid w:val="00E332C2"/>
    <w:rsid w:val="00E33EBA"/>
    <w:rsid w:val="00E349A4"/>
    <w:rsid w:val="00E34EBF"/>
    <w:rsid w:val="00E35D5B"/>
    <w:rsid w:val="00E3616E"/>
    <w:rsid w:val="00E361BE"/>
    <w:rsid w:val="00E361E7"/>
    <w:rsid w:val="00E4072C"/>
    <w:rsid w:val="00E407C5"/>
    <w:rsid w:val="00E40EC1"/>
    <w:rsid w:val="00E413CE"/>
    <w:rsid w:val="00E422C4"/>
    <w:rsid w:val="00E43524"/>
    <w:rsid w:val="00E43772"/>
    <w:rsid w:val="00E437BE"/>
    <w:rsid w:val="00E44970"/>
    <w:rsid w:val="00E44DE2"/>
    <w:rsid w:val="00E456BE"/>
    <w:rsid w:val="00E457B1"/>
    <w:rsid w:val="00E457F3"/>
    <w:rsid w:val="00E4598E"/>
    <w:rsid w:val="00E4613F"/>
    <w:rsid w:val="00E46231"/>
    <w:rsid w:val="00E46646"/>
    <w:rsid w:val="00E4665A"/>
    <w:rsid w:val="00E46930"/>
    <w:rsid w:val="00E47211"/>
    <w:rsid w:val="00E47826"/>
    <w:rsid w:val="00E47E8A"/>
    <w:rsid w:val="00E47ECD"/>
    <w:rsid w:val="00E50031"/>
    <w:rsid w:val="00E50281"/>
    <w:rsid w:val="00E507C3"/>
    <w:rsid w:val="00E50BF6"/>
    <w:rsid w:val="00E50D39"/>
    <w:rsid w:val="00E50E3D"/>
    <w:rsid w:val="00E522FA"/>
    <w:rsid w:val="00E52ABE"/>
    <w:rsid w:val="00E54914"/>
    <w:rsid w:val="00E54C7F"/>
    <w:rsid w:val="00E551E7"/>
    <w:rsid w:val="00E55DDD"/>
    <w:rsid w:val="00E56709"/>
    <w:rsid w:val="00E57308"/>
    <w:rsid w:val="00E603F3"/>
    <w:rsid w:val="00E61658"/>
    <w:rsid w:val="00E62329"/>
    <w:rsid w:val="00E623AC"/>
    <w:rsid w:val="00E62F52"/>
    <w:rsid w:val="00E63069"/>
    <w:rsid w:val="00E63371"/>
    <w:rsid w:val="00E63AEA"/>
    <w:rsid w:val="00E63B30"/>
    <w:rsid w:val="00E64ECA"/>
    <w:rsid w:val="00E65C67"/>
    <w:rsid w:val="00E65CF7"/>
    <w:rsid w:val="00E65F05"/>
    <w:rsid w:val="00E672AE"/>
    <w:rsid w:val="00E67719"/>
    <w:rsid w:val="00E677F4"/>
    <w:rsid w:val="00E67C02"/>
    <w:rsid w:val="00E67D99"/>
    <w:rsid w:val="00E67ECC"/>
    <w:rsid w:val="00E702C6"/>
    <w:rsid w:val="00E704AC"/>
    <w:rsid w:val="00E70676"/>
    <w:rsid w:val="00E70C78"/>
    <w:rsid w:val="00E71422"/>
    <w:rsid w:val="00E72F11"/>
    <w:rsid w:val="00E73BFB"/>
    <w:rsid w:val="00E73D08"/>
    <w:rsid w:val="00E73EF8"/>
    <w:rsid w:val="00E740CB"/>
    <w:rsid w:val="00E74AE7"/>
    <w:rsid w:val="00E75CA4"/>
    <w:rsid w:val="00E76407"/>
    <w:rsid w:val="00E76527"/>
    <w:rsid w:val="00E766B3"/>
    <w:rsid w:val="00E76B29"/>
    <w:rsid w:val="00E76DF6"/>
    <w:rsid w:val="00E770DF"/>
    <w:rsid w:val="00E77750"/>
    <w:rsid w:val="00E777CF"/>
    <w:rsid w:val="00E778C7"/>
    <w:rsid w:val="00E800A8"/>
    <w:rsid w:val="00E807C4"/>
    <w:rsid w:val="00E80FCF"/>
    <w:rsid w:val="00E81296"/>
    <w:rsid w:val="00E81437"/>
    <w:rsid w:val="00E81D91"/>
    <w:rsid w:val="00E824F5"/>
    <w:rsid w:val="00E82A72"/>
    <w:rsid w:val="00E82DBE"/>
    <w:rsid w:val="00E83427"/>
    <w:rsid w:val="00E83BBB"/>
    <w:rsid w:val="00E84BDA"/>
    <w:rsid w:val="00E85796"/>
    <w:rsid w:val="00E859CD"/>
    <w:rsid w:val="00E85A65"/>
    <w:rsid w:val="00E85DDB"/>
    <w:rsid w:val="00E85F92"/>
    <w:rsid w:val="00E86347"/>
    <w:rsid w:val="00E9041C"/>
    <w:rsid w:val="00E91409"/>
    <w:rsid w:val="00E91605"/>
    <w:rsid w:val="00E92C4E"/>
    <w:rsid w:val="00E93A48"/>
    <w:rsid w:val="00E93A50"/>
    <w:rsid w:val="00E95918"/>
    <w:rsid w:val="00E95D7B"/>
    <w:rsid w:val="00E96623"/>
    <w:rsid w:val="00E96F4E"/>
    <w:rsid w:val="00E9761A"/>
    <w:rsid w:val="00E9766B"/>
    <w:rsid w:val="00E977FE"/>
    <w:rsid w:val="00EA090F"/>
    <w:rsid w:val="00EA1502"/>
    <w:rsid w:val="00EA170F"/>
    <w:rsid w:val="00EA1C9A"/>
    <w:rsid w:val="00EA29F0"/>
    <w:rsid w:val="00EA2DBD"/>
    <w:rsid w:val="00EA3122"/>
    <w:rsid w:val="00EA3389"/>
    <w:rsid w:val="00EA39F9"/>
    <w:rsid w:val="00EA4171"/>
    <w:rsid w:val="00EA4630"/>
    <w:rsid w:val="00EA470C"/>
    <w:rsid w:val="00EA47E6"/>
    <w:rsid w:val="00EA54F9"/>
    <w:rsid w:val="00EA5870"/>
    <w:rsid w:val="00EA5D5C"/>
    <w:rsid w:val="00EA60FA"/>
    <w:rsid w:val="00EA72C7"/>
    <w:rsid w:val="00EA77C4"/>
    <w:rsid w:val="00EA7A28"/>
    <w:rsid w:val="00EA7A47"/>
    <w:rsid w:val="00EB0C84"/>
    <w:rsid w:val="00EB0D5B"/>
    <w:rsid w:val="00EB0EE3"/>
    <w:rsid w:val="00EB1E2E"/>
    <w:rsid w:val="00EB21F2"/>
    <w:rsid w:val="00EB2460"/>
    <w:rsid w:val="00EB32A4"/>
    <w:rsid w:val="00EB3661"/>
    <w:rsid w:val="00EB37E3"/>
    <w:rsid w:val="00EB3E2B"/>
    <w:rsid w:val="00EB4F80"/>
    <w:rsid w:val="00EB597B"/>
    <w:rsid w:val="00EB5C13"/>
    <w:rsid w:val="00EB6D77"/>
    <w:rsid w:val="00EB6EC5"/>
    <w:rsid w:val="00EB772B"/>
    <w:rsid w:val="00EB7DEA"/>
    <w:rsid w:val="00EC121F"/>
    <w:rsid w:val="00EC127B"/>
    <w:rsid w:val="00EC1FD3"/>
    <w:rsid w:val="00EC2637"/>
    <w:rsid w:val="00EC3FD5"/>
    <w:rsid w:val="00EC4FD0"/>
    <w:rsid w:val="00EC5B3F"/>
    <w:rsid w:val="00EC62E2"/>
    <w:rsid w:val="00EC6BB8"/>
    <w:rsid w:val="00EC7211"/>
    <w:rsid w:val="00EC7AB0"/>
    <w:rsid w:val="00ED056F"/>
    <w:rsid w:val="00ED0CB4"/>
    <w:rsid w:val="00ED0FB7"/>
    <w:rsid w:val="00ED0FF8"/>
    <w:rsid w:val="00ED1052"/>
    <w:rsid w:val="00ED242C"/>
    <w:rsid w:val="00ED2729"/>
    <w:rsid w:val="00ED2AA7"/>
    <w:rsid w:val="00ED2D6A"/>
    <w:rsid w:val="00ED2EBD"/>
    <w:rsid w:val="00ED37A5"/>
    <w:rsid w:val="00ED394A"/>
    <w:rsid w:val="00ED3B80"/>
    <w:rsid w:val="00ED67FB"/>
    <w:rsid w:val="00ED6A7E"/>
    <w:rsid w:val="00ED6D2E"/>
    <w:rsid w:val="00EE002F"/>
    <w:rsid w:val="00EE069F"/>
    <w:rsid w:val="00EE105B"/>
    <w:rsid w:val="00EE1949"/>
    <w:rsid w:val="00EE19B2"/>
    <w:rsid w:val="00EE22FA"/>
    <w:rsid w:val="00EE2A8B"/>
    <w:rsid w:val="00EE36A6"/>
    <w:rsid w:val="00EE3EBC"/>
    <w:rsid w:val="00EE43D8"/>
    <w:rsid w:val="00EE4575"/>
    <w:rsid w:val="00EE5C04"/>
    <w:rsid w:val="00EE5FC2"/>
    <w:rsid w:val="00EE61DC"/>
    <w:rsid w:val="00EE6A3B"/>
    <w:rsid w:val="00EE6AEF"/>
    <w:rsid w:val="00EE7722"/>
    <w:rsid w:val="00EE798A"/>
    <w:rsid w:val="00EF00CA"/>
    <w:rsid w:val="00EF039D"/>
    <w:rsid w:val="00EF0B80"/>
    <w:rsid w:val="00EF1191"/>
    <w:rsid w:val="00EF192F"/>
    <w:rsid w:val="00EF1A36"/>
    <w:rsid w:val="00EF2F32"/>
    <w:rsid w:val="00EF2F49"/>
    <w:rsid w:val="00EF44E3"/>
    <w:rsid w:val="00EF486E"/>
    <w:rsid w:val="00EF4E45"/>
    <w:rsid w:val="00EF5138"/>
    <w:rsid w:val="00EF53CE"/>
    <w:rsid w:val="00EF560A"/>
    <w:rsid w:val="00EF6E2C"/>
    <w:rsid w:val="00EF6F6A"/>
    <w:rsid w:val="00EF764C"/>
    <w:rsid w:val="00EF7925"/>
    <w:rsid w:val="00EF7E3C"/>
    <w:rsid w:val="00F0027E"/>
    <w:rsid w:val="00F00657"/>
    <w:rsid w:val="00F00883"/>
    <w:rsid w:val="00F0122E"/>
    <w:rsid w:val="00F01945"/>
    <w:rsid w:val="00F0250E"/>
    <w:rsid w:val="00F02648"/>
    <w:rsid w:val="00F02F88"/>
    <w:rsid w:val="00F03D59"/>
    <w:rsid w:val="00F0409F"/>
    <w:rsid w:val="00F0443F"/>
    <w:rsid w:val="00F04A94"/>
    <w:rsid w:val="00F04C39"/>
    <w:rsid w:val="00F052CF"/>
    <w:rsid w:val="00F0563A"/>
    <w:rsid w:val="00F05A22"/>
    <w:rsid w:val="00F05FAE"/>
    <w:rsid w:val="00F062F5"/>
    <w:rsid w:val="00F06657"/>
    <w:rsid w:val="00F06986"/>
    <w:rsid w:val="00F07E34"/>
    <w:rsid w:val="00F07E9C"/>
    <w:rsid w:val="00F10E38"/>
    <w:rsid w:val="00F10F7A"/>
    <w:rsid w:val="00F114A1"/>
    <w:rsid w:val="00F1226C"/>
    <w:rsid w:val="00F122E3"/>
    <w:rsid w:val="00F1272C"/>
    <w:rsid w:val="00F133A5"/>
    <w:rsid w:val="00F13443"/>
    <w:rsid w:val="00F13643"/>
    <w:rsid w:val="00F138CA"/>
    <w:rsid w:val="00F13CB4"/>
    <w:rsid w:val="00F141AE"/>
    <w:rsid w:val="00F146B4"/>
    <w:rsid w:val="00F14B6C"/>
    <w:rsid w:val="00F152F2"/>
    <w:rsid w:val="00F168DB"/>
    <w:rsid w:val="00F16A53"/>
    <w:rsid w:val="00F16D88"/>
    <w:rsid w:val="00F175A2"/>
    <w:rsid w:val="00F17A23"/>
    <w:rsid w:val="00F206C7"/>
    <w:rsid w:val="00F20A84"/>
    <w:rsid w:val="00F21719"/>
    <w:rsid w:val="00F22CF2"/>
    <w:rsid w:val="00F235E3"/>
    <w:rsid w:val="00F23CD9"/>
    <w:rsid w:val="00F24C93"/>
    <w:rsid w:val="00F25323"/>
    <w:rsid w:val="00F2535F"/>
    <w:rsid w:val="00F25632"/>
    <w:rsid w:val="00F2580B"/>
    <w:rsid w:val="00F26BB8"/>
    <w:rsid w:val="00F26EBE"/>
    <w:rsid w:val="00F27142"/>
    <w:rsid w:val="00F27FA6"/>
    <w:rsid w:val="00F30711"/>
    <w:rsid w:val="00F31A97"/>
    <w:rsid w:val="00F31ACA"/>
    <w:rsid w:val="00F321DA"/>
    <w:rsid w:val="00F32307"/>
    <w:rsid w:val="00F3248C"/>
    <w:rsid w:val="00F3291F"/>
    <w:rsid w:val="00F32E5A"/>
    <w:rsid w:val="00F33026"/>
    <w:rsid w:val="00F33C6F"/>
    <w:rsid w:val="00F34780"/>
    <w:rsid w:val="00F358DE"/>
    <w:rsid w:val="00F36090"/>
    <w:rsid w:val="00F36849"/>
    <w:rsid w:val="00F37E13"/>
    <w:rsid w:val="00F40C8E"/>
    <w:rsid w:val="00F40F44"/>
    <w:rsid w:val="00F41103"/>
    <w:rsid w:val="00F41281"/>
    <w:rsid w:val="00F41DE8"/>
    <w:rsid w:val="00F41DFB"/>
    <w:rsid w:val="00F423B4"/>
    <w:rsid w:val="00F42777"/>
    <w:rsid w:val="00F42AFB"/>
    <w:rsid w:val="00F43184"/>
    <w:rsid w:val="00F43377"/>
    <w:rsid w:val="00F433B2"/>
    <w:rsid w:val="00F43CEE"/>
    <w:rsid w:val="00F44206"/>
    <w:rsid w:val="00F44A2F"/>
    <w:rsid w:val="00F44A50"/>
    <w:rsid w:val="00F44F98"/>
    <w:rsid w:val="00F45983"/>
    <w:rsid w:val="00F45CFD"/>
    <w:rsid w:val="00F46489"/>
    <w:rsid w:val="00F468C4"/>
    <w:rsid w:val="00F46B85"/>
    <w:rsid w:val="00F46F1D"/>
    <w:rsid w:val="00F470DB"/>
    <w:rsid w:val="00F47F00"/>
    <w:rsid w:val="00F50A4F"/>
    <w:rsid w:val="00F5108E"/>
    <w:rsid w:val="00F511FB"/>
    <w:rsid w:val="00F51386"/>
    <w:rsid w:val="00F51517"/>
    <w:rsid w:val="00F52859"/>
    <w:rsid w:val="00F52DEC"/>
    <w:rsid w:val="00F52ED3"/>
    <w:rsid w:val="00F53115"/>
    <w:rsid w:val="00F53236"/>
    <w:rsid w:val="00F534A9"/>
    <w:rsid w:val="00F53727"/>
    <w:rsid w:val="00F5412E"/>
    <w:rsid w:val="00F54CE6"/>
    <w:rsid w:val="00F55290"/>
    <w:rsid w:val="00F557CB"/>
    <w:rsid w:val="00F55C1D"/>
    <w:rsid w:val="00F56511"/>
    <w:rsid w:val="00F5740B"/>
    <w:rsid w:val="00F57B91"/>
    <w:rsid w:val="00F57D59"/>
    <w:rsid w:val="00F57D7A"/>
    <w:rsid w:val="00F60306"/>
    <w:rsid w:val="00F614B6"/>
    <w:rsid w:val="00F62313"/>
    <w:rsid w:val="00F62783"/>
    <w:rsid w:val="00F6283D"/>
    <w:rsid w:val="00F632C1"/>
    <w:rsid w:val="00F63451"/>
    <w:rsid w:val="00F6359D"/>
    <w:rsid w:val="00F63A60"/>
    <w:rsid w:val="00F63F27"/>
    <w:rsid w:val="00F641BB"/>
    <w:rsid w:val="00F6566D"/>
    <w:rsid w:val="00F659E3"/>
    <w:rsid w:val="00F65E70"/>
    <w:rsid w:val="00F66196"/>
    <w:rsid w:val="00F66258"/>
    <w:rsid w:val="00F668D5"/>
    <w:rsid w:val="00F66FC2"/>
    <w:rsid w:val="00F67423"/>
    <w:rsid w:val="00F675C4"/>
    <w:rsid w:val="00F67CF1"/>
    <w:rsid w:val="00F7031C"/>
    <w:rsid w:val="00F70719"/>
    <w:rsid w:val="00F714F1"/>
    <w:rsid w:val="00F7155B"/>
    <w:rsid w:val="00F71855"/>
    <w:rsid w:val="00F71F88"/>
    <w:rsid w:val="00F72A7A"/>
    <w:rsid w:val="00F73563"/>
    <w:rsid w:val="00F7476A"/>
    <w:rsid w:val="00F747A7"/>
    <w:rsid w:val="00F74C22"/>
    <w:rsid w:val="00F7588E"/>
    <w:rsid w:val="00F766F9"/>
    <w:rsid w:val="00F76CA3"/>
    <w:rsid w:val="00F76F49"/>
    <w:rsid w:val="00F771A8"/>
    <w:rsid w:val="00F773E4"/>
    <w:rsid w:val="00F7747E"/>
    <w:rsid w:val="00F77521"/>
    <w:rsid w:val="00F77D73"/>
    <w:rsid w:val="00F80C7D"/>
    <w:rsid w:val="00F80D9A"/>
    <w:rsid w:val="00F812DB"/>
    <w:rsid w:val="00F813CF"/>
    <w:rsid w:val="00F81428"/>
    <w:rsid w:val="00F829F0"/>
    <w:rsid w:val="00F82F61"/>
    <w:rsid w:val="00F83711"/>
    <w:rsid w:val="00F8434A"/>
    <w:rsid w:val="00F849CD"/>
    <w:rsid w:val="00F8592F"/>
    <w:rsid w:val="00F85C17"/>
    <w:rsid w:val="00F85C59"/>
    <w:rsid w:val="00F861CC"/>
    <w:rsid w:val="00F86FB1"/>
    <w:rsid w:val="00F8747F"/>
    <w:rsid w:val="00F87483"/>
    <w:rsid w:val="00F9268F"/>
    <w:rsid w:val="00F950F7"/>
    <w:rsid w:val="00F958E9"/>
    <w:rsid w:val="00F95B78"/>
    <w:rsid w:val="00F95CEC"/>
    <w:rsid w:val="00F96678"/>
    <w:rsid w:val="00F966C7"/>
    <w:rsid w:val="00F967EC"/>
    <w:rsid w:val="00F96AFC"/>
    <w:rsid w:val="00F96B7B"/>
    <w:rsid w:val="00F973B2"/>
    <w:rsid w:val="00F97ADF"/>
    <w:rsid w:val="00FA0255"/>
    <w:rsid w:val="00FA0423"/>
    <w:rsid w:val="00FA1104"/>
    <w:rsid w:val="00FA1352"/>
    <w:rsid w:val="00FA2019"/>
    <w:rsid w:val="00FA2F12"/>
    <w:rsid w:val="00FA3027"/>
    <w:rsid w:val="00FA398C"/>
    <w:rsid w:val="00FA53EC"/>
    <w:rsid w:val="00FA5A52"/>
    <w:rsid w:val="00FA5C58"/>
    <w:rsid w:val="00FA6452"/>
    <w:rsid w:val="00FA6FD2"/>
    <w:rsid w:val="00FA79A7"/>
    <w:rsid w:val="00FB0D59"/>
    <w:rsid w:val="00FB0D96"/>
    <w:rsid w:val="00FB1185"/>
    <w:rsid w:val="00FB2312"/>
    <w:rsid w:val="00FB334F"/>
    <w:rsid w:val="00FB35AC"/>
    <w:rsid w:val="00FB4620"/>
    <w:rsid w:val="00FB4939"/>
    <w:rsid w:val="00FB50A3"/>
    <w:rsid w:val="00FB5E4C"/>
    <w:rsid w:val="00FB719B"/>
    <w:rsid w:val="00FB7913"/>
    <w:rsid w:val="00FB79DB"/>
    <w:rsid w:val="00FC0B1D"/>
    <w:rsid w:val="00FC117E"/>
    <w:rsid w:val="00FC3F81"/>
    <w:rsid w:val="00FC4A74"/>
    <w:rsid w:val="00FC4D48"/>
    <w:rsid w:val="00FC51EE"/>
    <w:rsid w:val="00FC5557"/>
    <w:rsid w:val="00FC5707"/>
    <w:rsid w:val="00FC59DA"/>
    <w:rsid w:val="00FC60F0"/>
    <w:rsid w:val="00FC6B04"/>
    <w:rsid w:val="00FC7326"/>
    <w:rsid w:val="00FD0049"/>
    <w:rsid w:val="00FD031B"/>
    <w:rsid w:val="00FD0903"/>
    <w:rsid w:val="00FD1A89"/>
    <w:rsid w:val="00FD1BB9"/>
    <w:rsid w:val="00FD1E0D"/>
    <w:rsid w:val="00FD2687"/>
    <w:rsid w:val="00FD3F57"/>
    <w:rsid w:val="00FD45F6"/>
    <w:rsid w:val="00FD4C74"/>
    <w:rsid w:val="00FD540B"/>
    <w:rsid w:val="00FD5676"/>
    <w:rsid w:val="00FD6387"/>
    <w:rsid w:val="00FD7E14"/>
    <w:rsid w:val="00FD7E22"/>
    <w:rsid w:val="00FE1BA9"/>
    <w:rsid w:val="00FE1E0C"/>
    <w:rsid w:val="00FE23A4"/>
    <w:rsid w:val="00FE3060"/>
    <w:rsid w:val="00FE37DE"/>
    <w:rsid w:val="00FE3F45"/>
    <w:rsid w:val="00FE445D"/>
    <w:rsid w:val="00FE4934"/>
    <w:rsid w:val="00FE4FE8"/>
    <w:rsid w:val="00FE528B"/>
    <w:rsid w:val="00FE5D2B"/>
    <w:rsid w:val="00FE682D"/>
    <w:rsid w:val="00FE6E1D"/>
    <w:rsid w:val="00FE7B83"/>
    <w:rsid w:val="00FF09A7"/>
    <w:rsid w:val="00FF0C57"/>
    <w:rsid w:val="00FF0D5B"/>
    <w:rsid w:val="00FF1287"/>
    <w:rsid w:val="00FF14CA"/>
    <w:rsid w:val="00FF192D"/>
    <w:rsid w:val="00FF2706"/>
    <w:rsid w:val="00FF27C9"/>
    <w:rsid w:val="00FF2918"/>
    <w:rsid w:val="00FF2A03"/>
    <w:rsid w:val="00FF2F75"/>
    <w:rsid w:val="00FF35B3"/>
    <w:rsid w:val="00FF3D60"/>
    <w:rsid w:val="00FF40BD"/>
    <w:rsid w:val="00FF44EF"/>
    <w:rsid w:val="00FF465E"/>
    <w:rsid w:val="00FF4CA2"/>
    <w:rsid w:val="00FF4F44"/>
    <w:rsid w:val="00FF5010"/>
    <w:rsid w:val="00FF558C"/>
    <w:rsid w:val="00FF55F3"/>
    <w:rsid w:val="00FF69FB"/>
    <w:rsid w:val="00FF77D4"/>
    <w:rsid w:val="00FF789E"/>
    <w:rsid w:val="00FF79F3"/>
    <w:rsid w:val="00FF7BDB"/>
    <w:rsid w:val="00FF7E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FF56"/>
  <w15:docId w15:val="{9EB38CE8-4087-494F-8631-A7B40A8A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F4"/>
  </w:style>
  <w:style w:type="paragraph" w:styleId="Heading1">
    <w:name w:val="heading 1"/>
    <w:basedOn w:val="Normal"/>
    <w:next w:val="Normal"/>
    <w:link w:val="Heading1Char"/>
    <w:uiPriority w:val="9"/>
    <w:qFormat/>
    <w:rsid w:val="00034F63"/>
    <w:pPr>
      <w:keepNext/>
      <w:keepLines/>
      <w:spacing w:before="240" w:after="0"/>
      <w:outlineLvl w:val="0"/>
    </w:pPr>
    <w:rPr>
      <w:rFonts w:asciiTheme="majorHAnsi" w:eastAsiaTheme="majorEastAsia" w:hAnsiTheme="majorHAnsi" w:cstheme="majorBidi"/>
      <w:color w:val="2B5582" w:themeColor="accent1" w:themeShade="BF"/>
      <w:sz w:val="32"/>
      <w:szCs w:val="32"/>
    </w:rPr>
  </w:style>
  <w:style w:type="paragraph" w:styleId="Heading3">
    <w:name w:val="heading 3"/>
    <w:basedOn w:val="Normal"/>
    <w:next w:val="Normal"/>
    <w:link w:val="Heading3Char"/>
    <w:uiPriority w:val="9"/>
    <w:unhideWhenUsed/>
    <w:qFormat/>
    <w:rsid w:val="00953C4A"/>
    <w:pPr>
      <w:keepNext/>
      <w:keepLines/>
      <w:spacing w:before="40" w:after="0"/>
      <w:outlineLvl w:val="2"/>
    </w:pPr>
    <w:rPr>
      <w:rFonts w:asciiTheme="majorHAnsi" w:eastAsiaTheme="majorEastAsia" w:hAnsiTheme="majorHAnsi" w:cstheme="majorBidi"/>
      <w:color w:val="1C39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18"/>
  </w:style>
  <w:style w:type="paragraph" w:styleId="Footer">
    <w:name w:val="footer"/>
    <w:basedOn w:val="Normal"/>
    <w:link w:val="FooterChar"/>
    <w:uiPriority w:val="99"/>
    <w:unhideWhenUsed/>
    <w:rsid w:val="00A1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18"/>
  </w:style>
  <w:style w:type="paragraph" w:customStyle="1" w:styleId="01HEADLINE">
    <w:name w:val="01 HEADLINE"/>
    <w:basedOn w:val="Header"/>
    <w:qFormat/>
    <w:rsid w:val="00A14E18"/>
    <w:pPr>
      <w:tabs>
        <w:tab w:val="clear" w:pos="4513"/>
        <w:tab w:val="clear" w:pos="9026"/>
        <w:tab w:val="center" w:pos="4320"/>
        <w:tab w:val="right" w:pos="8640"/>
      </w:tabs>
    </w:pPr>
    <w:rPr>
      <w:rFonts w:ascii="Calibri" w:eastAsia="Times New Roman" w:hAnsi="Calibri"/>
      <w:b/>
      <w:color w:val="FFFFFF"/>
      <w:sz w:val="26"/>
      <w:szCs w:val="26"/>
    </w:rPr>
  </w:style>
  <w:style w:type="paragraph" w:styleId="BalloonText">
    <w:name w:val="Balloon Text"/>
    <w:basedOn w:val="Normal"/>
    <w:link w:val="BalloonTextChar"/>
    <w:uiPriority w:val="99"/>
    <w:semiHidden/>
    <w:unhideWhenUsed/>
    <w:rsid w:val="00A1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8"/>
    <w:rPr>
      <w:rFonts w:ascii="Tahoma" w:hAnsi="Tahoma" w:cs="Tahoma"/>
      <w:sz w:val="16"/>
      <w:szCs w:val="16"/>
    </w:rPr>
  </w:style>
  <w:style w:type="paragraph" w:customStyle="1" w:styleId="02TITLE">
    <w:name w:val="02 TITLE"/>
    <w:basedOn w:val="Normal"/>
    <w:qFormat/>
    <w:rsid w:val="00003855"/>
    <w:pPr>
      <w:spacing w:after="240" w:line="240" w:lineRule="auto"/>
    </w:pPr>
    <w:rPr>
      <w:rFonts w:asciiTheme="majorHAnsi" w:eastAsiaTheme="minorEastAsia" w:hAnsiTheme="majorHAnsi"/>
      <w:b/>
      <w:color w:val="11275D"/>
      <w:sz w:val="28"/>
      <w:szCs w:val="28"/>
    </w:rPr>
  </w:style>
  <w:style w:type="paragraph" w:customStyle="1" w:styleId="04SUBSUB">
    <w:name w:val="04 SUBSUB"/>
    <w:basedOn w:val="Normal"/>
    <w:qFormat/>
    <w:rsid w:val="00003855"/>
    <w:pPr>
      <w:tabs>
        <w:tab w:val="left" w:pos="8262"/>
      </w:tabs>
      <w:spacing w:before="480" w:line="264" w:lineRule="auto"/>
      <w:ind w:left="2835" w:right="74"/>
      <w:contextualSpacing/>
      <w:jc w:val="both"/>
    </w:pPr>
    <w:rPr>
      <w:rFonts w:asciiTheme="majorHAnsi" w:eastAsiaTheme="minorEastAsia" w:hAnsiTheme="majorHAnsi" w:cstheme="majorHAnsi"/>
      <w:b/>
      <w:color w:val="11275D"/>
      <w:sz w:val="21"/>
      <w:szCs w:val="21"/>
      <w:lang w:val="en-GB"/>
    </w:rPr>
  </w:style>
  <w:style w:type="paragraph" w:styleId="ListParagraph">
    <w:name w:val="List Paragraph"/>
    <w:basedOn w:val="Normal"/>
    <w:uiPriority w:val="34"/>
    <w:qFormat/>
    <w:rsid w:val="0000385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65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LAINTEXT">
    <w:name w:val="05 PLAIN TEXT"/>
    <w:basedOn w:val="Normal"/>
    <w:qFormat/>
    <w:rsid w:val="00D72CD0"/>
    <w:pPr>
      <w:tabs>
        <w:tab w:val="left" w:pos="8262"/>
      </w:tabs>
      <w:spacing w:before="120" w:after="0" w:line="264" w:lineRule="auto"/>
      <w:ind w:left="2835" w:right="74"/>
      <w:contextualSpacing/>
      <w:jc w:val="both"/>
    </w:pPr>
    <w:rPr>
      <w:rFonts w:asciiTheme="majorHAnsi" w:eastAsiaTheme="minorEastAsia" w:hAnsiTheme="majorHAnsi" w:cstheme="majorHAnsi"/>
      <w:color w:val="0D0D0D" w:themeColor="text1" w:themeTint="F2"/>
      <w:sz w:val="19"/>
      <w:szCs w:val="19"/>
      <w:lang w:val="en-GB"/>
    </w:rPr>
  </w:style>
  <w:style w:type="paragraph" w:customStyle="1" w:styleId="a">
    <w:name w:val="Τίτλος ενότητας"/>
    <w:qFormat/>
    <w:rsid w:val="00F168DB"/>
    <w:pPr>
      <w:pBdr>
        <w:bottom w:val="single" w:sz="6" w:space="11" w:color="E0CBA4"/>
      </w:pBdr>
      <w:spacing w:before="480" w:after="240" w:line="240" w:lineRule="auto"/>
      <w:ind w:left="2835"/>
    </w:pPr>
    <w:rPr>
      <w:rFonts w:asciiTheme="majorHAnsi" w:eastAsiaTheme="minorEastAsia" w:hAnsiTheme="majorHAnsi"/>
      <w:noProof/>
      <w:color w:val="000000" w:themeColor="text1"/>
      <w:sz w:val="32"/>
      <w:szCs w:val="32"/>
      <w:lang w:val="en-GB" w:eastAsia="en-GB"/>
    </w:rPr>
  </w:style>
  <w:style w:type="paragraph" w:styleId="FootnoteText">
    <w:name w:val="footnote text"/>
    <w:basedOn w:val="Normal"/>
    <w:link w:val="FootnoteTextChar"/>
    <w:uiPriority w:val="99"/>
    <w:unhideWhenUsed/>
    <w:rsid w:val="00F168D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168DB"/>
    <w:rPr>
      <w:rFonts w:eastAsiaTheme="minorEastAsia"/>
      <w:sz w:val="20"/>
      <w:szCs w:val="20"/>
      <w:lang w:val="en-US"/>
    </w:rPr>
  </w:style>
  <w:style w:type="paragraph" w:customStyle="1" w:styleId="10TableB">
    <w:name w:val="10 Table B"/>
    <w:basedOn w:val="Normal"/>
    <w:qFormat/>
    <w:rsid w:val="00F168DB"/>
    <w:pPr>
      <w:spacing w:after="0" w:line="240" w:lineRule="auto"/>
    </w:pPr>
    <w:rPr>
      <w:rFonts w:asciiTheme="majorHAnsi" w:eastAsiaTheme="minorEastAsia" w:hAnsiTheme="majorHAnsi"/>
      <w:b/>
      <w:sz w:val="19"/>
      <w:szCs w:val="19"/>
      <w:lang w:val="en-US"/>
    </w:rPr>
  </w:style>
  <w:style w:type="paragraph" w:customStyle="1" w:styleId="11TableP">
    <w:name w:val="11 Table P"/>
    <w:basedOn w:val="Normal"/>
    <w:qFormat/>
    <w:rsid w:val="00F168DB"/>
    <w:pPr>
      <w:spacing w:after="0" w:line="240" w:lineRule="auto"/>
    </w:pPr>
    <w:rPr>
      <w:rFonts w:asciiTheme="majorHAnsi" w:eastAsiaTheme="minorEastAsia" w:hAnsiTheme="majorHAnsi"/>
      <w:sz w:val="19"/>
      <w:szCs w:val="19"/>
      <w:lang w:val="en-US"/>
    </w:rPr>
  </w:style>
  <w:style w:type="paragraph" w:styleId="NormalWeb">
    <w:name w:val="Normal (Web)"/>
    <w:basedOn w:val="Normal"/>
    <w:uiPriority w:val="99"/>
    <w:semiHidden/>
    <w:unhideWhenUsed/>
    <w:rsid w:val="008E00C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otnoteReference">
    <w:name w:val="footnote reference"/>
    <w:basedOn w:val="DefaultParagraphFont"/>
    <w:uiPriority w:val="99"/>
    <w:semiHidden/>
    <w:unhideWhenUsed/>
    <w:rsid w:val="004631DC"/>
    <w:rPr>
      <w:vertAlign w:val="superscript"/>
    </w:rPr>
  </w:style>
  <w:style w:type="character" w:styleId="CommentReference">
    <w:name w:val="annotation reference"/>
    <w:basedOn w:val="DefaultParagraphFont"/>
    <w:uiPriority w:val="99"/>
    <w:semiHidden/>
    <w:unhideWhenUsed/>
    <w:rsid w:val="00FC7326"/>
    <w:rPr>
      <w:sz w:val="16"/>
      <w:szCs w:val="16"/>
    </w:rPr>
  </w:style>
  <w:style w:type="paragraph" w:styleId="CommentText">
    <w:name w:val="annotation text"/>
    <w:basedOn w:val="Normal"/>
    <w:link w:val="CommentTextChar"/>
    <w:uiPriority w:val="99"/>
    <w:semiHidden/>
    <w:unhideWhenUsed/>
    <w:rsid w:val="00FC73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C7326"/>
    <w:rPr>
      <w:rFonts w:ascii="Calibri" w:hAnsi="Calibri" w:cs="Times New Roman"/>
      <w:sz w:val="20"/>
      <w:szCs w:val="20"/>
    </w:rPr>
  </w:style>
  <w:style w:type="character" w:styleId="Hyperlink">
    <w:name w:val="Hyperlink"/>
    <w:basedOn w:val="DefaultParagraphFont"/>
    <w:uiPriority w:val="99"/>
    <w:unhideWhenUsed/>
    <w:rsid w:val="00A33FE0"/>
    <w:rPr>
      <w:color w:val="0070C0" w:themeColor="hyperlink"/>
      <w:u w:val="single"/>
    </w:rPr>
  </w:style>
  <w:style w:type="numbering" w:customStyle="1" w:styleId="NoList1">
    <w:name w:val="No List1"/>
    <w:next w:val="NoList"/>
    <w:uiPriority w:val="99"/>
    <w:semiHidden/>
    <w:unhideWhenUsed/>
    <w:rsid w:val="00D612E1"/>
  </w:style>
  <w:style w:type="table" w:customStyle="1" w:styleId="TableGrid1">
    <w:name w:val="Table Grid1"/>
    <w:basedOn w:val="TableNormal"/>
    <w:next w:val="TableGrid"/>
    <w:uiPriority w:val="59"/>
    <w:rsid w:val="00D6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F63"/>
    <w:rPr>
      <w:rFonts w:asciiTheme="majorHAnsi" w:eastAsiaTheme="majorEastAsia" w:hAnsiTheme="majorHAnsi" w:cstheme="majorBidi"/>
      <w:color w:val="2B5582" w:themeColor="accent1" w:themeShade="BF"/>
      <w:sz w:val="32"/>
      <w:szCs w:val="32"/>
    </w:rPr>
  </w:style>
  <w:style w:type="table" w:customStyle="1" w:styleId="TableGrid2">
    <w:name w:val="Table Grid2"/>
    <w:basedOn w:val="TableNormal"/>
    <w:next w:val="TableGrid"/>
    <w:uiPriority w:val="59"/>
    <w:rsid w:val="00E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772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7721"/>
    <w:rPr>
      <w:rFonts w:ascii="Calibri" w:hAnsi="Calibri" w:cs="Times New Roman"/>
      <w:b/>
      <w:bCs/>
      <w:sz w:val="20"/>
      <w:szCs w:val="20"/>
    </w:rPr>
  </w:style>
  <w:style w:type="paragraph" w:customStyle="1" w:styleId="Default">
    <w:name w:val="Default"/>
    <w:rsid w:val="001F7F89"/>
    <w:pPr>
      <w:autoSpaceDE w:val="0"/>
      <w:autoSpaceDN w:val="0"/>
      <w:adjustRightInd w:val="0"/>
      <w:spacing w:after="0" w:line="240" w:lineRule="auto"/>
    </w:pPr>
    <w:rPr>
      <w:rFonts w:ascii="Calibri" w:hAnsi="Calibri" w:cs="Calibri"/>
      <w:color w:val="000000"/>
      <w:sz w:val="24"/>
      <w:szCs w:val="24"/>
    </w:rPr>
  </w:style>
  <w:style w:type="paragraph" w:customStyle="1" w:styleId="s2">
    <w:name w:val="s2"/>
    <w:basedOn w:val="Normal"/>
    <w:rsid w:val="00AA140F"/>
    <w:pPr>
      <w:spacing w:before="100" w:beforeAutospacing="1" w:after="100" w:afterAutospacing="1" w:line="240" w:lineRule="auto"/>
    </w:pPr>
    <w:rPr>
      <w:rFonts w:ascii="Calibri" w:hAnsi="Calibri" w:cs="Times New Roman"/>
    </w:rPr>
  </w:style>
  <w:style w:type="character" w:styleId="Emphasis">
    <w:name w:val="Emphasis"/>
    <w:basedOn w:val="DefaultParagraphFont"/>
    <w:uiPriority w:val="20"/>
    <w:qFormat/>
    <w:rsid w:val="00D513D2"/>
    <w:rPr>
      <w:b/>
      <w:bCs/>
      <w:i w:val="0"/>
      <w:iCs w:val="0"/>
    </w:rPr>
  </w:style>
  <w:style w:type="character" w:customStyle="1" w:styleId="st1">
    <w:name w:val="st1"/>
    <w:basedOn w:val="DefaultParagraphFont"/>
    <w:rsid w:val="00D513D2"/>
  </w:style>
  <w:style w:type="table" w:customStyle="1" w:styleId="TableGrid21">
    <w:name w:val="Table Grid21"/>
    <w:basedOn w:val="TableNormal"/>
    <w:next w:val="TableGrid"/>
    <w:uiPriority w:val="59"/>
    <w:rsid w:val="00ED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3C4A"/>
    <w:rPr>
      <w:rFonts w:asciiTheme="majorHAnsi" w:eastAsiaTheme="majorEastAsia" w:hAnsiTheme="majorHAnsi" w:cstheme="majorBidi"/>
      <w:color w:val="1C3956" w:themeColor="accent1" w:themeShade="7F"/>
      <w:sz w:val="24"/>
      <w:szCs w:val="24"/>
    </w:rPr>
  </w:style>
  <w:style w:type="paragraph" w:customStyle="1" w:styleId="TableParagraph">
    <w:name w:val="Table Paragraph"/>
    <w:basedOn w:val="Normal"/>
    <w:uiPriority w:val="1"/>
    <w:qFormat/>
    <w:rsid w:val="00045C2B"/>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A1352"/>
    <w:pPr>
      <w:widowControl w:val="0"/>
      <w:autoSpaceDE w:val="0"/>
      <w:autoSpaceDN w:val="0"/>
      <w:spacing w:before="240" w:after="0" w:line="280" w:lineRule="exact"/>
      <w:jc w:val="both"/>
    </w:pPr>
    <w:rPr>
      <w:rFonts w:eastAsia="Piraeus Sans" w:cs="Piraeus Sans"/>
      <w:color w:val="414042"/>
      <w:sz w:val="20"/>
      <w:szCs w:val="20"/>
      <w:lang w:val="en-US"/>
    </w:rPr>
  </w:style>
  <w:style w:type="character" w:customStyle="1" w:styleId="BodyTextChar">
    <w:name w:val="Body Text Char"/>
    <w:basedOn w:val="DefaultParagraphFont"/>
    <w:link w:val="BodyText"/>
    <w:uiPriority w:val="1"/>
    <w:rsid w:val="00FA1352"/>
    <w:rPr>
      <w:rFonts w:eastAsia="Piraeus Sans" w:cs="Piraeus Sans"/>
      <w:color w:val="414042"/>
      <w:sz w:val="20"/>
      <w:szCs w:val="20"/>
      <w:lang w:val="en-US"/>
    </w:rPr>
  </w:style>
  <w:style w:type="paragraph" w:styleId="HTMLPreformatted">
    <w:name w:val="HTML Preformatted"/>
    <w:basedOn w:val="Normal"/>
    <w:link w:val="HTMLPreformattedChar"/>
    <w:uiPriority w:val="99"/>
    <w:semiHidden/>
    <w:unhideWhenUsed/>
    <w:rsid w:val="0098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2391"/>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705">
      <w:bodyDiv w:val="1"/>
      <w:marLeft w:val="0"/>
      <w:marRight w:val="0"/>
      <w:marTop w:val="0"/>
      <w:marBottom w:val="0"/>
      <w:divBdr>
        <w:top w:val="none" w:sz="0" w:space="0" w:color="auto"/>
        <w:left w:val="none" w:sz="0" w:space="0" w:color="auto"/>
        <w:bottom w:val="none" w:sz="0" w:space="0" w:color="auto"/>
        <w:right w:val="none" w:sz="0" w:space="0" w:color="auto"/>
      </w:divBdr>
    </w:div>
    <w:div w:id="145783865">
      <w:bodyDiv w:val="1"/>
      <w:marLeft w:val="0"/>
      <w:marRight w:val="0"/>
      <w:marTop w:val="0"/>
      <w:marBottom w:val="0"/>
      <w:divBdr>
        <w:top w:val="none" w:sz="0" w:space="0" w:color="auto"/>
        <w:left w:val="none" w:sz="0" w:space="0" w:color="auto"/>
        <w:bottom w:val="none" w:sz="0" w:space="0" w:color="auto"/>
        <w:right w:val="none" w:sz="0" w:space="0" w:color="auto"/>
      </w:divBdr>
    </w:div>
    <w:div w:id="233786100">
      <w:bodyDiv w:val="1"/>
      <w:marLeft w:val="0"/>
      <w:marRight w:val="0"/>
      <w:marTop w:val="0"/>
      <w:marBottom w:val="0"/>
      <w:divBdr>
        <w:top w:val="none" w:sz="0" w:space="0" w:color="auto"/>
        <w:left w:val="none" w:sz="0" w:space="0" w:color="auto"/>
        <w:bottom w:val="none" w:sz="0" w:space="0" w:color="auto"/>
        <w:right w:val="none" w:sz="0" w:space="0" w:color="auto"/>
      </w:divBdr>
    </w:div>
    <w:div w:id="271985495">
      <w:bodyDiv w:val="1"/>
      <w:marLeft w:val="0"/>
      <w:marRight w:val="0"/>
      <w:marTop w:val="0"/>
      <w:marBottom w:val="0"/>
      <w:divBdr>
        <w:top w:val="none" w:sz="0" w:space="0" w:color="auto"/>
        <w:left w:val="none" w:sz="0" w:space="0" w:color="auto"/>
        <w:bottom w:val="none" w:sz="0" w:space="0" w:color="auto"/>
        <w:right w:val="none" w:sz="0" w:space="0" w:color="auto"/>
      </w:divBdr>
    </w:div>
    <w:div w:id="313097898">
      <w:bodyDiv w:val="1"/>
      <w:marLeft w:val="0"/>
      <w:marRight w:val="0"/>
      <w:marTop w:val="0"/>
      <w:marBottom w:val="0"/>
      <w:divBdr>
        <w:top w:val="none" w:sz="0" w:space="0" w:color="auto"/>
        <w:left w:val="none" w:sz="0" w:space="0" w:color="auto"/>
        <w:bottom w:val="none" w:sz="0" w:space="0" w:color="auto"/>
        <w:right w:val="none" w:sz="0" w:space="0" w:color="auto"/>
      </w:divBdr>
    </w:div>
    <w:div w:id="465661164">
      <w:bodyDiv w:val="1"/>
      <w:marLeft w:val="0"/>
      <w:marRight w:val="0"/>
      <w:marTop w:val="0"/>
      <w:marBottom w:val="0"/>
      <w:divBdr>
        <w:top w:val="none" w:sz="0" w:space="0" w:color="auto"/>
        <w:left w:val="none" w:sz="0" w:space="0" w:color="auto"/>
        <w:bottom w:val="none" w:sz="0" w:space="0" w:color="auto"/>
        <w:right w:val="none" w:sz="0" w:space="0" w:color="auto"/>
      </w:divBdr>
    </w:div>
    <w:div w:id="522784727">
      <w:bodyDiv w:val="1"/>
      <w:marLeft w:val="0"/>
      <w:marRight w:val="0"/>
      <w:marTop w:val="0"/>
      <w:marBottom w:val="0"/>
      <w:divBdr>
        <w:top w:val="none" w:sz="0" w:space="0" w:color="auto"/>
        <w:left w:val="none" w:sz="0" w:space="0" w:color="auto"/>
        <w:bottom w:val="none" w:sz="0" w:space="0" w:color="auto"/>
        <w:right w:val="none" w:sz="0" w:space="0" w:color="auto"/>
      </w:divBdr>
      <w:divsChild>
        <w:div w:id="117382307">
          <w:marLeft w:val="0"/>
          <w:marRight w:val="0"/>
          <w:marTop w:val="0"/>
          <w:marBottom w:val="0"/>
          <w:divBdr>
            <w:top w:val="none" w:sz="0" w:space="0" w:color="auto"/>
            <w:left w:val="none" w:sz="0" w:space="0" w:color="auto"/>
            <w:bottom w:val="none" w:sz="0" w:space="0" w:color="auto"/>
            <w:right w:val="none" w:sz="0" w:space="0" w:color="auto"/>
          </w:divBdr>
          <w:divsChild>
            <w:div w:id="1861626696">
              <w:marLeft w:val="-113"/>
              <w:marRight w:val="-113"/>
              <w:marTop w:val="0"/>
              <w:marBottom w:val="0"/>
              <w:divBdr>
                <w:top w:val="none" w:sz="0" w:space="0" w:color="auto"/>
                <w:left w:val="none" w:sz="0" w:space="0" w:color="auto"/>
                <w:bottom w:val="none" w:sz="0" w:space="0" w:color="auto"/>
                <w:right w:val="none" w:sz="0" w:space="0" w:color="auto"/>
              </w:divBdr>
              <w:divsChild>
                <w:div w:id="1009256234">
                  <w:marLeft w:val="0"/>
                  <w:marRight w:val="0"/>
                  <w:marTop w:val="0"/>
                  <w:marBottom w:val="0"/>
                  <w:divBdr>
                    <w:top w:val="none" w:sz="0" w:space="0" w:color="auto"/>
                    <w:left w:val="none" w:sz="0" w:space="0" w:color="auto"/>
                    <w:bottom w:val="none" w:sz="0" w:space="0" w:color="auto"/>
                    <w:right w:val="none" w:sz="0" w:space="0" w:color="auto"/>
                  </w:divBdr>
                  <w:divsChild>
                    <w:div w:id="753628223">
                      <w:marLeft w:val="-113"/>
                      <w:marRight w:val="-113"/>
                      <w:marTop w:val="0"/>
                      <w:marBottom w:val="0"/>
                      <w:divBdr>
                        <w:top w:val="none" w:sz="0" w:space="0" w:color="auto"/>
                        <w:left w:val="none" w:sz="0" w:space="0" w:color="auto"/>
                        <w:bottom w:val="none" w:sz="0" w:space="0" w:color="auto"/>
                        <w:right w:val="none" w:sz="0" w:space="0" w:color="auto"/>
                      </w:divBdr>
                      <w:divsChild>
                        <w:div w:id="1527063963">
                          <w:marLeft w:val="0"/>
                          <w:marRight w:val="0"/>
                          <w:marTop w:val="0"/>
                          <w:marBottom w:val="0"/>
                          <w:divBdr>
                            <w:top w:val="none" w:sz="0" w:space="0" w:color="auto"/>
                            <w:left w:val="none" w:sz="0" w:space="0" w:color="auto"/>
                            <w:bottom w:val="none" w:sz="0" w:space="0" w:color="auto"/>
                            <w:right w:val="none" w:sz="0" w:space="0" w:color="auto"/>
                          </w:divBdr>
                          <w:divsChild>
                            <w:div w:id="834614138">
                              <w:marLeft w:val="-113"/>
                              <w:marRight w:val="-113"/>
                              <w:marTop w:val="0"/>
                              <w:marBottom w:val="0"/>
                              <w:divBdr>
                                <w:top w:val="none" w:sz="0" w:space="0" w:color="auto"/>
                                <w:left w:val="none" w:sz="0" w:space="0" w:color="auto"/>
                                <w:bottom w:val="none" w:sz="0" w:space="0" w:color="auto"/>
                                <w:right w:val="none" w:sz="0" w:space="0" w:color="auto"/>
                              </w:divBdr>
                              <w:divsChild>
                                <w:div w:id="107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8958">
      <w:bodyDiv w:val="1"/>
      <w:marLeft w:val="0"/>
      <w:marRight w:val="0"/>
      <w:marTop w:val="0"/>
      <w:marBottom w:val="0"/>
      <w:divBdr>
        <w:top w:val="none" w:sz="0" w:space="0" w:color="auto"/>
        <w:left w:val="none" w:sz="0" w:space="0" w:color="auto"/>
        <w:bottom w:val="none" w:sz="0" w:space="0" w:color="auto"/>
        <w:right w:val="none" w:sz="0" w:space="0" w:color="auto"/>
      </w:divBdr>
    </w:div>
    <w:div w:id="608926171">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60161196">
      <w:bodyDiv w:val="1"/>
      <w:marLeft w:val="0"/>
      <w:marRight w:val="0"/>
      <w:marTop w:val="0"/>
      <w:marBottom w:val="0"/>
      <w:divBdr>
        <w:top w:val="none" w:sz="0" w:space="0" w:color="auto"/>
        <w:left w:val="none" w:sz="0" w:space="0" w:color="auto"/>
        <w:bottom w:val="none" w:sz="0" w:space="0" w:color="auto"/>
        <w:right w:val="none" w:sz="0" w:space="0" w:color="auto"/>
      </w:divBdr>
    </w:div>
    <w:div w:id="900945977">
      <w:bodyDiv w:val="1"/>
      <w:marLeft w:val="0"/>
      <w:marRight w:val="0"/>
      <w:marTop w:val="0"/>
      <w:marBottom w:val="0"/>
      <w:divBdr>
        <w:top w:val="none" w:sz="0" w:space="0" w:color="auto"/>
        <w:left w:val="none" w:sz="0" w:space="0" w:color="auto"/>
        <w:bottom w:val="none" w:sz="0" w:space="0" w:color="auto"/>
        <w:right w:val="none" w:sz="0" w:space="0" w:color="auto"/>
      </w:divBdr>
    </w:div>
    <w:div w:id="917976577">
      <w:bodyDiv w:val="1"/>
      <w:marLeft w:val="0"/>
      <w:marRight w:val="0"/>
      <w:marTop w:val="0"/>
      <w:marBottom w:val="0"/>
      <w:divBdr>
        <w:top w:val="none" w:sz="0" w:space="0" w:color="auto"/>
        <w:left w:val="none" w:sz="0" w:space="0" w:color="auto"/>
        <w:bottom w:val="none" w:sz="0" w:space="0" w:color="auto"/>
        <w:right w:val="none" w:sz="0" w:space="0" w:color="auto"/>
      </w:divBdr>
    </w:div>
    <w:div w:id="965503141">
      <w:bodyDiv w:val="1"/>
      <w:marLeft w:val="0"/>
      <w:marRight w:val="0"/>
      <w:marTop w:val="0"/>
      <w:marBottom w:val="0"/>
      <w:divBdr>
        <w:top w:val="none" w:sz="0" w:space="0" w:color="auto"/>
        <w:left w:val="none" w:sz="0" w:space="0" w:color="auto"/>
        <w:bottom w:val="none" w:sz="0" w:space="0" w:color="auto"/>
        <w:right w:val="none" w:sz="0" w:space="0" w:color="auto"/>
      </w:divBdr>
    </w:div>
    <w:div w:id="1044788058">
      <w:bodyDiv w:val="1"/>
      <w:marLeft w:val="0"/>
      <w:marRight w:val="0"/>
      <w:marTop w:val="0"/>
      <w:marBottom w:val="0"/>
      <w:divBdr>
        <w:top w:val="none" w:sz="0" w:space="0" w:color="auto"/>
        <w:left w:val="none" w:sz="0" w:space="0" w:color="auto"/>
        <w:bottom w:val="none" w:sz="0" w:space="0" w:color="auto"/>
        <w:right w:val="none" w:sz="0" w:space="0" w:color="auto"/>
      </w:divBdr>
    </w:div>
    <w:div w:id="1266883232">
      <w:bodyDiv w:val="1"/>
      <w:marLeft w:val="0"/>
      <w:marRight w:val="0"/>
      <w:marTop w:val="0"/>
      <w:marBottom w:val="0"/>
      <w:divBdr>
        <w:top w:val="none" w:sz="0" w:space="0" w:color="auto"/>
        <w:left w:val="none" w:sz="0" w:space="0" w:color="auto"/>
        <w:bottom w:val="none" w:sz="0" w:space="0" w:color="auto"/>
        <w:right w:val="none" w:sz="0" w:space="0" w:color="auto"/>
      </w:divBdr>
    </w:div>
    <w:div w:id="1386611484">
      <w:bodyDiv w:val="1"/>
      <w:marLeft w:val="0"/>
      <w:marRight w:val="0"/>
      <w:marTop w:val="0"/>
      <w:marBottom w:val="0"/>
      <w:divBdr>
        <w:top w:val="none" w:sz="0" w:space="0" w:color="auto"/>
        <w:left w:val="none" w:sz="0" w:space="0" w:color="auto"/>
        <w:bottom w:val="none" w:sz="0" w:space="0" w:color="auto"/>
        <w:right w:val="none" w:sz="0" w:space="0" w:color="auto"/>
      </w:divBdr>
    </w:div>
    <w:div w:id="1395011594">
      <w:bodyDiv w:val="1"/>
      <w:marLeft w:val="0"/>
      <w:marRight w:val="0"/>
      <w:marTop w:val="0"/>
      <w:marBottom w:val="0"/>
      <w:divBdr>
        <w:top w:val="none" w:sz="0" w:space="0" w:color="auto"/>
        <w:left w:val="none" w:sz="0" w:space="0" w:color="auto"/>
        <w:bottom w:val="none" w:sz="0" w:space="0" w:color="auto"/>
        <w:right w:val="none" w:sz="0" w:space="0" w:color="auto"/>
      </w:divBdr>
    </w:div>
    <w:div w:id="1541624111">
      <w:bodyDiv w:val="1"/>
      <w:marLeft w:val="0"/>
      <w:marRight w:val="0"/>
      <w:marTop w:val="0"/>
      <w:marBottom w:val="0"/>
      <w:divBdr>
        <w:top w:val="none" w:sz="0" w:space="0" w:color="auto"/>
        <w:left w:val="none" w:sz="0" w:space="0" w:color="auto"/>
        <w:bottom w:val="none" w:sz="0" w:space="0" w:color="auto"/>
        <w:right w:val="none" w:sz="0" w:space="0" w:color="auto"/>
      </w:divBdr>
    </w:div>
    <w:div w:id="1547330318">
      <w:bodyDiv w:val="1"/>
      <w:marLeft w:val="0"/>
      <w:marRight w:val="0"/>
      <w:marTop w:val="0"/>
      <w:marBottom w:val="0"/>
      <w:divBdr>
        <w:top w:val="none" w:sz="0" w:space="0" w:color="auto"/>
        <w:left w:val="none" w:sz="0" w:space="0" w:color="auto"/>
        <w:bottom w:val="none" w:sz="0" w:space="0" w:color="auto"/>
        <w:right w:val="none" w:sz="0" w:space="0" w:color="auto"/>
      </w:divBdr>
    </w:div>
    <w:div w:id="1549024454">
      <w:bodyDiv w:val="1"/>
      <w:marLeft w:val="0"/>
      <w:marRight w:val="0"/>
      <w:marTop w:val="0"/>
      <w:marBottom w:val="0"/>
      <w:divBdr>
        <w:top w:val="none" w:sz="0" w:space="0" w:color="auto"/>
        <w:left w:val="none" w:sz="0" w:space="0" w:color="auto"/>
        <w:bottom w:val="none" w:sz="0" w:space="0" w:color="auto"/>
        <w:right w:val="none" w:sz="0" w:space="0" w:color="auto"/>
      </w:divBdr>
    </w:div>
    <w:div w:id="1669675380">
      <w:bodyDiv w:val="1"/>
      <w:marLeft w:val="0"/>
      <w:marRight w:val="0"/>
      <w:marTop w:val="0"/>
      <w:marBottom w:val="0"/>
      <w:divBdr>
        <w:top w:val="none" w:sz="0" w:space="0" w:color="auto"/>
        <w:left w:val="none" w:sz="0" w:space="0" w:color="auto"/>
        <w:bottom w:val="none" w:sz="0" w:space="0" w:color="auto"/>
        <w:right w:val="none" w:sz="0" w:space="0" w:color="auto"/>
      </w:divBdr>
    </w:div>
    <w:div w:id="1736586066">
      <w:bodyDiv w:val="1"/>
      <w:marLeft w:val="0"/>
      <w:marRight w:val="0"/>
      <w:marTop w:val="0"/>
      <w:marBottom w:val="0"/>
      <w:divBdr>
        <w:top w:val="none" w:sz="0" w:space="0" w:color="auto"/>
        <w:left w:val="none" w:sz="0" w:space="0" w:color="auto"/>
        <w:bottom w:val="none" w:sz="0" w:space="0" w:color="auto"/>
        <w:right w:val="none" w:sz="0" w:space="0" w:color="auto"/>
      </w:divBdr>
    </w:div>
    <w:div w:id="175901794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975788773">
      <w:bodyDiv w:val="1"/>
      <w:marLeft w:val="0"/>
      <w:marRight w:val="0"/>
      <w:marTop w:val="0"/>
      <w:marBottom w:val="0"/>
      <w:divBdr>
        <w:top w:val="none" w:sz="0" w:space="0" w:color="auto"/>
        <w:left w:val="none" w:sz="0" w:space="0" w:color="auto"/>
        <w:bottom w:val="none" w:sz="0" w:space="0" w:color="auto"/>
        <w:right w:val="none" w:sz="0" w:space="0" w:color="auto"/>
      </w:divBdr>
    </w:div>
    <w:div w:id="2075662838">
      <w:bodyDiv w:val="1"/>
      <w:marLeft w:val="0"/>
      <w:marRight w:val="0"/>
      <w:marTop w:val="0"/>
      <w:marBottom w:val="0"/>
      <w:divBdr>
        <w:top w:val="none" w:sz="0" w:space="0" w:color="auto"/>
        <w:left w:val="none" w:sz="0" w:space="0" w:color="auto"/>
        <w:bottom w:val="none" w:sz="0" w:space="0" w:color="auto"/>
        <w:right w:val="none" w:sz="0" w:space="0" w:color="auto"/>
      </w:divBdr>
    </w:div>
    <w:div w:id="2081557182">
      <w:bodyDiv w:val="1"/>
      <w:marLeft w:val="0"/>
      <w:marRight w:val="0"/>
      <w:marTop w:val="0"/>
      <w:marBottom w:val="0"/>
      <w:divBdr>
        <w:top w:val="none" w:sz="0" w:space="0" w:color="auto"/>
        <w:left w:val="none" w:sz="0" w:space="0" w:color="auto"/>
        <w:bottom w:val="none" w:sz="0" w:space="0" w:color="auto"/>
        <w:right w:val="none" w:sz="0" w:space="0" w:color="auto"/>
      </w:divBdr>
    </w:div>
    <w:div w:id="2099249687">
      <w:bodyDiv w:val="1"/>
      <w:marLeft w:val="0"/>
      <w:marRight w:val="0"/>
      <w:marTop w:val="0"/>
      <w:marBottom w:val="0"/>
      <w:divBdr>
        <w:top w:val="none" w:sz="0" w:space="0" w:color="auto"/>
        <w:left w:val="none" w:sz="0" w:space="0" w:color="auto"/>
        <w:bottom w:val="none" w:sz="0" w:space="0" w:color="auto"/>
        <w:right w:val="none" w:sz="0" w:space="0" w:color="auto"/>
      </w:divBdr>
      <w:divsChild>
        <w:div w:id="97331102">
          <w:marLeft w:val="-240"/>
          <w:marRight w:val="-240"/>
          <w:marTop w:val="0"/>
          <w:marBottom w:val="0"/>
          <w:divBdr>
            <w:top w:val="none" w:sz="0" w:space="0" w:color="auto"/>
            <w:left w:val="none" w:sz="0" w:space="0" w:color="auto"/>
            <w:bottom w:val="none" w:sz="0" w:space="0" w:color="auto"/>
            <w:right w:val="none" w:sz="0" w:space="0" w:color="auto"/>
          </w:divBdr>
          <w:divsChild>
            <w:div w:id="2090809561">
              <w:marLeft w:val="0"/>
              <w:marRight w:val="0"/>
              <w:marTop w:val="0"/>
              <w:marBottom w:val="0"/>
              <w:divBdr>
                <w:top w:val="none" w:sz="0" w:space="0" w:color="auto"/>
                <w:left w:val="none" w:sz="0" w:space="0" w:color="auto"/>
                <w:bottom w:val="none" w:sz="0" w:space="0" w:color="auto"/>
                <w:right w:val="none" w:sz="0" w:space="0" w:color="auto"/>
              </w:divBdr>
              <w:divsChild>
                <w:div w:id="1171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iraeusbankgroup.com/el/investors/financials/financial-statements"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raeusbankgroup.com/el/investors/financials/financial-results-categor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hba.gr/info/Covid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41732283464552E-2"/>
          <c:y val="0.13852859159777192"/>
          <c:w val="0.84087428726581581"/>
          <c:h val="0.73629071343780517"/>
        </c:manualLayout>
      </c:layout>
      <c:barChart>
        <c:barDir val="col"/>
        <c:grouping val="clustered"/>
        <c:varyColors val="0"/>
        <c:ser>
          <c:idx val="0"/>
          <c:order val="0"/>
          <c:tx>
            <c:strRef>
              <c:f>Sheet1!$B$1</c:f>
              <c:strCache>
                <c:ptCount val="1"/>
                <c:pt idx="0">
                  <c:v>Pre tax profit</c:v>
                </c:pt>
              </c:strCache>
            </c:strRef>
          </c:tx>
          <c:spPr>
            <a:solidFill>
              <a:srgbClr val="002060"/>
            </a:solidFill>
            <a:ln w="12700">
              <a:noFill/>
              <a:prstDash val="solid"/>
            </a:ln>
            <a:effectLst/>
          </c:spPr>
          <c:invertIfNegative val="0"/>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1-8C4B-4D66-B545-10298009F1DC}"/>
              </c:ext>
            </c:extLst>
          </c:dPt>
          <c:dPt>
            <c:idx val="3"/>
            <c:invertIfNegative val="0"/>
            <c:bubble3D val="0"/>
            <c:spPr>
              <a:solidFill>
                <a:srgbClr val="FFC000"/>
              </a:solidFill>
              <a:ln w="12700">
                <a:noFill/>
                <a:prstDash val="solid"/>
              </a:ln>
              <a:effectLst/>
            </c:spPr>
            <c:extLst>
              <c:ext xmlns:c16="http://schemas.microsoft.com/office/drawing/2014/chart" uri="{C3380CC4-5D6E-409C-BE32-E72D297353CC}">
                <c16:uniqueId val="{00000003-8C4B-4D66-B545-10298009F1DC}"/>
              </c:ext>
            </c:extLst>
          </c:dPt>
          <c:dPt>
            <c:idx val="4"/>
            <c:invertIfNegative val="0"/>
            <c:bubble3D val="0"/>
            <c:extLst>
              <c:ext xmlns:c16="http://schemas.microsoft.com/office/drawing/2014/chart" uri="{C3380CC4-5D6E-409C-BE32-E72D297353CC}">
                <c16:uniqueId val="{00000004-8C4B-4D66-B545-10298009F1DC}"/>
              </c:ext>
            </c:extLst>
          </c:dPt>
          <c:dPt>
            <c:idx val="5"/>
            <c:invertIfNegative val="0"/>
            <c:bubble3D val="0"/>
            <c:spPr>
              <a:solidFill>
                <a:srgbClr val="FFC000"/>
              </a:solidFill>
              <a:ln w="12700">
                <a:noFill/>
                <a:prstDash val="solid"/>
              </a:ln>
              <a:effectLst/>
            </c:spPr>
            <c:extLst>
              <c:ext xmlns:c16="http://schemas.microsoft.com/office/drawing/2014/chart" uri="{C3380CC4-5D6E-409C-BE32-E72D297353CC}">
                <c16:uniqueId val="{00000006-8C4B-4D66-B545-10298009F1DC}"/>
              </c:ext>
            </c:extLst>
          </c:dPt>
          <c:dPt>
            <c:idx val="6"/>
            <c:invertIfNegative val="0"/>
            <c:bubble3D val="0"/>
            <c:extLst>
              <c:ext xmlns:c16="http://schemas.microsoft.com/office/drawing/2014/chart" uri="{C3380CC4-5D6E-409C-BE32-E72D297353CC}">
                <c16:uniqueId val="{00000007-8C4B-4D66-B545-10298009F1DC}"/>
              </c:ext>
            </c:extLst>
          </c:dPt>
          <c:dPt>
            <c:idx val="7"/>
            <c:invertIfNegative val="0"/>
            <c:bubble3D val="0"/>
            <c:extLst>
              <c:ext xmlns:c16="http://schemas.microsoft.com/office/drawing/2014/chart" uri="{C3380CC4-5D6E-409C-BE32-E72D297353CC}">
                <c16:uniqueId val="{00000008-8C4B-4D66-B545-10298009F1DC}"/>
              </c:ext>
            </c:extLst>
          </c:dPt>
          <c:dLbls>
            <c:dLbl>
              <c:idx val="2"/>
              <c:layout>
                <c:manualLayout>
                  <c:x val="-5.7471264367816091E-3"/>
                  <c:y val="1.7842618022434975E-2"/>
                </c:manualLayout>
              </c:layout>
              <c:spPr>
                <a:noFill/>
                <a:ln>
                  <a:noFill/>
                </a:ln>
                <a:effectLst/>
              </c:spPr>
              <c:txPr>
                <a:bodyPr/>
                <a:lstStyle/>
                <a:p>
                  <a:pPr>
                    <a:defRPr sz="800" b="1">
                      <a:solidFill>
                        <a:schemeClr val="tx2"/>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4B-4D66-B545-10298009F1DC}"/>
                </c:ext>
              </c:extLst>
            </c:dLbl>
            <c:dLbl>
              <c:idx val="3"/>
              <c:layout>
                <c:manualLayout>
                  <c:x val="-1.0536276751464822E-16"/>
                  <c:y val="1.784121320249777E-2"/>
                </c:manualLayout>
              </c:layout>
              <c:tx>
                <c:rich>
                  <a:bodyPr/>
                  <a:lstStyle/>
                  <a:p>
                    <a:pPr>
                      <a:defRPr sz="800" b="1">
                        <a:solidFill>
                          <a:schemeClr val="tx2"/>
                        </a:solidFill>
                        <a:latin typeface="+mn-lt"/>
                      </a:defRPr>
                    </a:pPr>
                    <a:fld id="{6FD2298A-0993-4ABF-9F00-9D44E29769C1}" type="VALUE">
                      <a:rPr lang="en-US" b="1">
                        <a:solidFill>
                          <a:schemeClr val="tx2"/>
                        </a:solidFill>
                      </a:rPr>
                      <a:pPr>
                        <a:defRPr sz="800" b="1">
                          <a:solidFill>
                            <a:schemeClr val="tx2"/>
                          </a:solidFill>
                          <a:latin typeface="+mn-lt"/>
                        </a:defRPr>
                      </a:pPr>
                      <a:t>[VALUE]</a:t>
                    </a:fld>
                    <a:endParaRPr lang="en-GB"/>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C4B-4D66-B545-10298009F1DC}"/>
                </c:ext>
              </c:extLst>
            </c:dLbl>
            <c:dLbl>
              <c:idx val="5"/>
              <c:spPr>
                <a:noFill/>
                <a:ln>
                  <a:noFill/>
                </a:ln>
                <a:effectLst/>
              </c:spPr>
              <c:txPr>
                <a:bodyPr/>
                <a:lstStyle/>
                <a:p>
                  <a:pPr>
                    <a:defRPr sz="800" b="1">
                      <a:solidFill>
                        <a:schemeClr val="tx2"/>
                      </a:solidFill>
                      <a:latin typeface="+mn-lt"/>
                    </a:defRPr>
                  </a:pPr>
                  <a:endParaRPr lang="en-US"/>
                </a:p>
              </c:txPr>
              <c:showLegendKey val="0"/>
              <c:showVal val="1"/>
              <c:showCatName val="0"/>
              <c:showSerName val="0"/>
              <c:showPercent val="0"/>
              <c:showBubbleSize val="0"/>
              <c:extLst>
                <c:ext xmlns:c16="http://schemas.microsoft.com/office/drawing/2014/chart" uri="{C3380CC4-5D6E-409C-BE32-E72D297353CC}">
                  <c16:uniqueId val="{00000006-8C4B-4D66-B545-10298009F1DC}"/>
                </c:ext>
              </c:extLst>
            </c:dLbl>
            <c:dLbl>
              <c:idx val="6"/>
              <c:layout>
                <c:manualLayout>
                  <c:x val="-1.0536276751464822E-16"/>
                  <c:y val="-9.0456806874717535E-3"/>
                </c:manualLayout>
              </c:layout>
              <c:tx>
                <c:rich>
                  <a:bodyPr/>
                  <a:lstStyle/>
                  <a:p>
                    <a:fld id="{D16646C8-31F2-4D03-9697-5123E3E5693E}" type="VALUE">
                      <a:rPr lang="en-US" b="0"/>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C4B-4D66-B545-10298009F1DC}"/>
                </c:ext>
              </c:extLst>
            </c:dLbl>
            <c:dLbl>
              <c:idx val="7"/>
              <c:tx>
                <c:rich>
                  <a:bodyPr/>
                  <a:lstStyle/>
                  <a:p>
                    <a:fld id="{A1FE53ED-D15C-41D9-ADE1-13E2F310319A}" type="VALUE">
                      <a:rPr lang="en-US" b="1"/>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C4B-4D66-B545-10298009F1DC}"/>
                </c:ext>
              </c:extLst>
            </c:dLbl>
            <c:spPr>
              <a:noFill/>
              <a:ln>
                <a:noFill/>
              </a:ln>
              <a:effectLst/>
            </c:spPr>
            <c:txPr>
              <a:bodyPr/>
              <a:lstStyle/>
              <a:p>
                <a:pPr>
                  <a:defRPr sz="800" b="0">
                    <a:solidFill>
                      <a:sysClr val="windowText" lastClr="000000"/>
                    </a:solidFill>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2018</c:v>
                </c:pt>
                <c:pt idx="1">
                  <c:v>2019</c:v>
                </c:pt>
                <c:pt idx="2">
                  <c:v>1ο 3μηνο 
2020</c:v>
                </c:pt>
                <c:pt idx="3">
                  <c:v>2ο 3μηνο 2020
έως σήμερα</c:v>
                </c:pt>
              </c:strCache>
            </c:strRef>
          </c:cat>
          <c:val>
            <c:numRef>
              <c:f>Sheet1!$B$2:$B$5</c:f>
              <c:numCache>
                <c:formatCode>#,##0.0</c:formatCode>
                <c:ptCount val="4"/>
                <c:pt idx="0">
                  <c:v>1.8</c:v>
                </c:pt>
                <c:pt idx="1">
                  <c:v>1.9</c:v>
                </c:pt>
                <c:pt idx="2">
                  <c:v>0.4</c:v>
                </c:pt>
                <c:pt idx="3">
                  <c:v>0.9</c:v>
                </c:pt>
              </c:numCache>
            </c:numRef>
          </c:val>
          <c:extLst>
            <c:ext xmlns:c16="http://schemas.microsoft.com/office/drawing/2014/chart" uri="{C3380CC4-5D6E-409C-BE32-E72D297353CC}">
              <c16:uniqueId val="{00000009-8C4B-4D66-B545-10298009F1DC}"/>
            </c:ext>
          </c:extLst>
        </c:ser>
        <c:dLbls>
          <c:showLegendKey val="0"/>
          <c:showVal val="0"/>
          <c:showCatName val="0"/>
          <c:showSerName val="0"/>
          <c:showPercent val="0"/>
          <c:showBubbleSize val="0"/>
        </c:dLbls>
        <c:gapWidth val="150"/>
        <c:overlap val="100"/>
        <c:axId val="630864328"/>
        <c:axId val="630865112"/>
      </c:barChart>
      <c:catAx>
        <c:axId val="630864328"/>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sz="700">
                <a:solidFill>
                  <a:schemeClr val="tx1">
                    <a:lumMod val="85000"/>
                    <a:lumOff val="15000"/>
                  </a:schemeClr>
                </a:solidFill>
                <a:latin typeface="+mn-lt"/>
              </a:defRPr>
            </a:pPr>
            <a:endParaRPr lang="en-US"/>
          </a:p>
        </c:txPr>
        <c:crossAx val="630865112"/>
        <c:crosses val="autoZero"/>
        <c:auto val="1"/>
        <c:lblAlgn val="ctr"/>
        <c:lblOffset val="100"/>
        <c:noMultiLvlLbl val="0"/>
      </c:catAx>
      <c:valAx>
        <c:axId val="630865112"/>
        <c:scaling>
          <c:orientation val="minMax"/>
          <c:max val="4"/>
          <c:min val="-2"/>
        </c:scaling>
        <c:delete val="1"/>
        <c:axPos val="l"/>
        <c:numFmt formatCode="#,##0.0" sourceLinked="1"/>
        <c:majorTickMark val="out"/>
        <c:minorTickMark val="none"/>
        <c:tickLblPos val="nextTo"/>
        <c:crossAx val="630864328"/>
        <c:crosses val="autoZero"/>
        <c:crossBetween val="between"/>
      </c:valAx>
      <c:spPr>
        <a:noFill/>
        <a:ln>
          <a:noFill/>
        </a:ln>
      </c:spPr>
    </c:plotArea>
    <c:plotVisOnly val="1"/>
    <c:dispBlanksAs val="gap"/>
    <c:showDLblsOverMax val="0"/>
  </c:chart>
  <c:spPr>
    <a:noFill/>
    <a:ln w="0">
      <a:noFill/>
    </a:ln>
  </c:spPr>
  <c:txPr>
    <a:bodyPr/>
    <a:lstStyle/>
    <a:p>
      <a:pPr>
        <a:defRPr sz="400">
          <a:latin typeface="+mj-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82E-2"/>
          <c:y val="0.15222343972945063"/>
          <c:w val="0.92790407689519494"/>
          <c:h val="0.60620807695838552"/>
        </c:manualLayout>
      </c:layout>
      <c:barChart>
        <c:barDir val="col"/>
        <c:grouping val="stacked"/>
        <c:varyColors val="0"/>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invertIfNegative val="0"/>
          <c:dPt>
            <c:idx val="3"/>
            <c:invertIfNegative val="0"/>
            <c:bubble3D val="0"/>
            <c:extLst>
              <c:ext xmlns:c16="http://schemas.microsoft.com/office/drawing/2014/chart" uri="{C3380CC4-5D6E-409C-BE32-E72D297353CC}">
                <c16:uniqueId val="{00000000-036D-4791-9BAF-F637262AD92B}"/>
              </c:ext>
            </c:extLst>
          </c:dPt>
          <c:dPt>
            <c:idx val="4"/>
            <c:invertIfNegative val="0"/>
            <c:bubble3D val="0"/>
            <c:extLst>
              <c:ext xmlns:c16="http://schemas.microsoft.com/office/drawing/2014/chart" uri="{C3380CC4-5D6E-409C-BE32-E72D297353CC}">
                <c16:uniqueId val="{00000001-036D-4791-9BAF-F637262AD92B}"/>
              </c:ext>
            </c:extLst>
          </c:dPt>
          <c:cat>
            <c:strRef>
              <c:f>Sheet1!$A$4:$A$7</c:f>
              <c:strCache>
                <c:ptCount val="4"/>
                <c:pt idx="0">
                  <c:v>2018</c:v>
                </c:pt>
                <c:pt idx="1">
                  <c:v>2019</c:v>
                </c:pt>
                <c:pt idx="2">
                  <c:v>Δ Ιαν. - Φεβ. 2020</c:v>
                </c:pt>
                <c:pt idx="3">
                  <c:v>Δ 
Μαρ. - Μάιος 2020</c:v>
                </c:pt>
              </c:strCache>
            </c:strRef>
          </c:cat>
          <c:val>
            <c:numRef>
              <c:f>Sheet1!$B$4:$B$7</c:f>
              <c:numCache>
                <c:formatCode>#,##0.0</c:formatCode>
                <c:ptCount val="4"/>
                <c:pt idx="0">
                  <c:v>0</c:v>
                </c:pt>
                <c:pt idx="1">
                  <c:v>0</c:v>
                </c:pt>
                <c:pt idx="2">
                  <c:v>0</c:v>
                </c:pt>
                <c:pt idx="3">
                  <c:v>0.2</c:v>
                </c:pt>
              </c:numCache>
            </c:numRef>
          </c:val>
          <c:extLst>
            <c:ext xmlns:c16="http://schemas.microsoft.com/office/drawing/2014/chart" uri="{C3380CC4-5D6E-409C-BE32-E72D297353CC}">
              <c16:uniqueId val="{00000002-036D-4791-9BAF-F637262AD92B}"/>
            </c:ext>
          </c:extLst>
        </c:ser>
        <c:ser>
          <c:idx val="1"/>
          <c:order val="1"/>
          <c:tx>
            <c:strRef>
              <c:f>Sheet1!$C$3</c:f>
              <c:strCache>
                <c:ptCount val="1"/>
                <c:pt idx="0">
                  <c:v>Value</c:v>
                </c:pt>
              </c:strCache>
            </c:strRef>
          </c:tx>
          <c:spPr>
            <a:solidFill>
              <a:srgbClr val="002060"/>
            </a:solidFill>
            <a:ln>
              <a:noFill/>
            </a:ln>
            <a:effectLst/>
          </c:spPr>
          <c:invertIfNegative val="0"/>
          <c:dPt>
            <c:idx val="0"/>
            <c:invertIfNegative val="0"/>
            <c:bubble3D val="0"/>
            <c:extLst>
              <c:ext xmlns:c16="http://schemas.microsoft.com/office/drawing/2014/chart" uri="{C3380CC4-5D6E-409C-BE32-E72D297353CC}">
                <c16:uniqueId val="{00000003-036D-4791-9BAF-F637262AD92B}"/>
              </c:ext>
            </c:extLst>
          </c:dPt>
          <c:dPt>
            <c:idx val="1"/>
            <c:invertIfNegative val="0"/>
            <c:bubble3D val="0"/>
            <c:extLst>
              <c:ext xmlns:c16="http://schemas.microsoft.com/office/drawing/2014/chart" uri="{C3380CC4-5D6E-409C-BE32-E72D297353CC}">
                <c16:uniqueId val="{00000004-036D-4791-9BAF-F637262AD92B}"/>
              </c:ext>
            </c:extLst>
          </c:dPt>
          <c:dPt>
            <c:idx val="2"/>
            <c:invertIfNegative val="0"/>
            <c:bubble3D val="0"/>
            <c:spPr>
              <a:solidFill>
                <a:srgbClr val="FFC000"/>
              </a:solidFill>
              <a:ln>
                <a:noFill/>
              </a:ln>
              <a:effectLst/>
            </c:spPr>
            <c:extLst>
              <c:ext xmlns:c16="http://schemas.microsoft.com/office/drawing/2014/chart" uri="{C3380CC4-5D6E-409C-BE32-E72D297353CC}">
                <c16:uniqueId val="{00000005-036D-4791-9BAF-F637262AD92B}"/>
              </c:ext>
            </c:extLst>
          </c:dPt>
          <c:dPt>
            <c:idx val="3"/>
            <c:invertIfNegative val="0"/>
            <c:bubble3D val="0"/>
            <c:spPr>
              <a:solidFill>
                <a:srgbClr val="FFC000"/>
              </a:solidFill>
              <a:ln>
                <a:noFill/>
              </a:ln>
              <a:effectLst/>
            </c:spPr>
            <c:extLst>
              <c:ext xmlns:c16="http://schemas.microsoft.com/office/drawing/2014/chart" uri="{C3380CC4-5D6E-409C-BE32-E72D297353CC}">
                <c16:uniqueId val="{00000006-036D-4791-9BAF-F637262AD92B}"/>
              </c:ext>
            </c:extLst>
          </c:dPt>
          <c:dPt>
            <c:idx val="4"/>
            <c:invertIfNegative val="0"/>
            <c:bubble3D val="0"/>
            <c:spPr>
              <a:solidFill>
                <a:srgbClr val="002060"/>
              </a:solidFill>
              <a:ln>
                <a:solidFill>
                  <a:schemeClr val="tx2"/>
                </a:solidFill>
              </a:ln>
              <a:effectLst/>
            </c:spPr>
            <c:extLst>
              <c:ext xmlns:c16="http://schemas.microsoft.com/office/drawing/2014/chart" uri="{C3380CC4-5D6E-409C-BE32-E72D297353CC}">
                <c16:uniqueId val="{00000008-036D-4791-9BAF-F637262AD92B}"/>
              </c:ext>
            </c:extLst>
          </c:dPt>
          <c:dPt>
            <c:idx val="5"/>
            <c:invertIfNegative val="0"/>
            <c:bubble3D val="0"/>
            <c:extLst>
              <c:ext xmlns:c16="http://schemas.microsoft.com/office/drawing/2014/chart" uri="{C3380CC4-5D6E-409C-BE32-E72D297353CC}">
                <c16:uniqueId val="{00000009-036D-4791-9BAF-F637262AD92B}"/>
              </c:ext>
            </c:extLst>
          </c:dPt>
          <c:dPt>
            <c:idx val="6"/>
            <c:invertIfNegative val="0"/>
            <c:bubble3D val="0"/>
            <c:spPr>
              <a:solidFill>
                <a:srgbClr val="002060"/>
              </a:solidFill>
              <a:ln w="6350">
                <a:noFill/>
              </a:ln>
              <a:effectLst/>
            </c:spPr>
            <c:extLst>
              <c:ext xmlns:c16="http://schemas.microsoft.com/office/drawing/2014/chart" uri="{C3380CC4-5D6E-409C-BE32-E72D297353CC}">
                <c16:uniqueId val="{0000000B-036D-4791-9BAF-F637262AD92B}"/>
              </c:ext>
            </c:extLst>
          </c:dPt>
          <c:dPt>
            <c:idx val="7"/>
            <c:invertIfNegative val="0"/>
            <c:bubble3D val="0"/>
            <c:extLst>
              <c:ext xmlns:c16="http://schemas.microsoft.com/office/drawing/2014/chart" uri="{C3380CC4-5D6E-409C-BE32-E72D297353CC}">
                <c16:uniqueId val="{0000000C-036D-4791-9BAF-F637262AD92B}"/>
              </c:ext>
            </c:extLst>
          </c:dPt>
          <c:dPt>
            <c:idx val="8"/>
            <c:invertIfNegative val="0"/>
            <c:bubble3D val="0"/>
            <c:extLst>
              <c:ext xmlns:c16="http://schemas.microsoft.com/office/drawing/2014/chart" uri="{C3380CC4-5D6E-409C-BE32-E72D297353CC}">
                <c16:uniqueId val="{0000000D-036D-4791-9BAF-F637262AD92B}"/>
              </c:ext>
            </c:extLst>
          </c:dPt>
          <c:dPt>
            <c:idx val="9"/>
            <c:invertIfNegative val="0"/>
            <c:bubble3D val="0"/>
            <c:extLst>
              <c:ext xmlns:c16="http://schemas.microsoft.com/office/drawing/2014/chart" uri="{C3380CC4-5D6E-409C-BE32-E72D297353CC}">
                <c16:uniqueId val="{0000000E-036D-4791-9BAF-F637262AD92B}"/>
              </c:ext>
            </c:extLst>
          </c:dPt>
          <c:dPt>
            <c:idx val="10"/>
            <c:invertIfNegative val="0"/>
            <c:bubble3D val="0"/>
            <c:extLst>
              <c:ext xmlns:c16="http://schemas.microsoft.com/office/drawing/2014/chart" uri="{C3380CC4-5D6E-409C-BE32-E72D297353CC}">
                <c16:uniqueId val="{0000000F-036D-4791-9BAF-F637262AD92B}"/>
              </c:ext>
            </c:extLst>
          </c:dPt>
          <c:dPt>
            <c:idx val="11"/>
            <c:invertIfNegative val="0"/>
            <c:bubble3D val="0"/>
            <c:extLst>
              <c:ext xmlns:c16="http://schemas.microsoft.com/office/drawing/2014/chart" uri="{C3380CC4-5D6E-409C-BE32-E72D297353CC}">
                <c16:uniqueId val="{00000010-036D-4791-9BAF-F637262AD92B}"/>
              </c:ext>
            </c:extLst>
          </c:dPt>
          <c:dPt>
            <c:idx val="12"/>
            <c:invertIfNegative val="0"/>
            <c:bubble3D val="0"/>
            <c:extLst>
              <c:ext xmlns:c16="http://schemas.microsoft.com/office/drawing/2014/chart" uri="{C3380CC4-5D6E-409C-BE32-E72D297353CC}">
                <c16:uniqueId val="{00000011-036D-4791-9BAF-F637262AD92B}"/>
              </c:ext>
            </c:extLst>
          </c:dPt>
          <c:dPt>
            <c:idx val="13"/>
            <c:invertIfNegative val="0"/>
            <c:bubble3D val="0"/>
            <c:extLst>
              <c:ext xmlns:c16="http://schemas.microsoft.com/office/drawing/2014/chart" uri="{C3380CC4-5D6E-409C-BE32-E72D297353CC}">
                <c16:uniqueId val="{00000012-036D-4791-9BAF-F637262AD92B}"/>
              </c:ext>
            </c:extLst>
          </c:dPt>
          <c:dPt>
            <c:idx val="14"/>
            <c:invertIfNegative val="0"/>
            <c:bubble3D val="0"/>
            <c:extLst>
              <c:ext xmlns:c16="http://schemas.microsoft.com/office/drawing/2014/chart" uri="{C3380CC4-5D6E-409C-BE32-E72D297353CC}">
                <c16:uniqueId val="{00000013-036D-4791-9BAF-F637262AD92B}"/>
              </c:ext>
            </c:extLst>
          </c:dPt>
          <c:dPt>
            <c:idx val="15"/>
            <c:invertIfNegative val="0"/>
            <c:bubble3D val="0"/>
            <c:extLst>
              <c:ext xmlns:c16="http://schemas.microsoft.com/office/drawing/2014/chart" uri="{C3380CC4-5D6E-409C-BE32-E72D297353CC}">
                <c16:uniqueId val="{00000014-036D-4791-9BAF-F637262AD92B}"/>
              </c:ext>
            </c:extLst>
          </c:dPt>
          <c:dPt>
            <c:idx val="17"/>
            <c:invertIfNegative val="0"/>
            <c:bubble3D val="0"/>
            <c:extLst>
              <c:ext xmlns:c16="http://schemas.microsoft.com/office/drawing/2014/chart" uri="{C3380CC4-5D6E-409C-BE32-E72D297353CC}">
                <c16:uniqueId val="{00000015-036D-4791-9BAF-F637262AD92B}"/>
              </c:ext>
            </c:extLst>
          </c:dPt>
          <c:dPt>
            <c:idx val="18"/>
            <c:invertIfNegative val="0"/>
            <c:bubble3D val="0"/>
            <c:extLst>
              <c:ext xmlns:c16="http://schemas.microsoft.com/office/drawing/2014/chart" uri="{C3380CC4-5D6E-409C-BE32-E72D297353CC}">
                <c16:uniqueId val="{00000016-036D-4791-9BAF-F637262AD92B}"/>
              </c:ext>
            </c:extLst>
          </c:dPt>
          <c:dPt>
            <c:idx val="19"/>
            <c:invertIfNegative val="0"/>
            <c:bubble3D val="0"/>
            <c:extLst>
              <c:ext xmlns:c16="http://schemas.microsoft.com/office/drawing/2014/chart" uri="{C3380CC4-5D6E-409C-BE32-E72D297353CC}">
                <c16:uniqueId val="{00000017-036D-4791-9BAF-F637262AD92B}"/>
              </c:ext>
            </c:extLst>
          </c:dPt>
          <c:dPt>
            <c:idx val="20"/>
            <c:invertIfNegative val="0"/>
            <c:bubble3D val="0"/>
            <c:extLst>
              <c:ext xmlns:c16="http://schemas.microsoft.com/office/drawing/2014/chart" uri="{C3380CC4-5D6E-409C-BE32-E72D297353CC}">
                <c16:uniqueId val="{00000018-036D-4791-9BAF-F637262AD92B}"/>
              </c:ext>
            </c:extLst>
          </c:dPt>
          <c:dPt>
            <c:idx val="22"/>
            <c:invertIfNegative val="0"/>
            <c:bubble3D val="0"/>
            <c:extLst>
              <c:ext xmlns:c16="http://schemas.microsoft.com/office/drawing/2014/chart" uri="{C3380CC4-5D6E-409C-BE32-E72D297353CC}">
                <c16:uniqueId val="{00000019-036D-4791-9BAF-F637262AD92B}"/>
              </c:ext>
            </c:extLst>
          </c:dPt>
          <c:dLbls>
            <c:dLbl>
              <c:idx val="0"/>
              <c:layout>
                <c:manualLayout>
                  <c:x val="2.0031034735837781E-3"/>
                  <c:y val="-0.3087021700845619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36D-4791-9BAF-F637262AD92B}"/>
                </c:ext>
              </c:extLst>
            </c:dLbl>
            <c:dLbl>
              <c:idx val="1"/>
              <c:layout>
                <c:manualLayout>
                  <c:x val="6.6577896138482022E-3"/>
                  <c:y val="-0.35962492904653098"/>
                </c:manualLayout>
              </c:layout>
              <c:tx>
                <c:rich>
                  <a:bodyPr wrap="square" lIns="38100" tIns="19050" rIns="38100" bIns="19050" anchor="ctr">
                    <a:spAutoFit/>
                  </a:bodyPr>
                  <a:lstStyle/>
                  <a:p>
                    <a:pPr>
                      <a:defRPr sz="800" b="0" strike="noStrike">
                        <a:solidFill>
                          <a:schemeClr val="tx1"/>
                        </a:solidFill>
                      </a:defRPr>
                    </a:pPr>
                    <a:fld id="{96BCD2CE-824D-4938-B58B-F1452BF8B07D}" type="VALUE">
                      <a:rPr lang="en-US" sz="800" b="0" strike="noStrike" smtClean="0">
                        <a:solidFill>
                          <a:schemeClr val="tx1"/>
                        </a:solidFill>
                      </a:rPr>
                      <a:pPr>
                        <a:defRPr sz="800" b="0" strike="noStrike">
                          <a:solidFill>
                            <a:schemeClr val="tx1"/>
                          </a:solidFill>
                        </a:defRPr>
                      </a:pPr>
                      <a:t>[VALUE]</a:t>
                    </a:fld>
                    <a:endParaRPr lang="en-GB"/>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036D-4791-9BAF-F637262AD92B}"/>
                </c:ext>
              </c:extLst>
            </c:dLbl>
            <c:dLbl>
              <c:idx val="2"/>
              <c:layout>
                <c:manualLayout>
                  <c:x val="9.8131625024901175E-3"/>
                  <c:y val="-0.12391677703872968"/>
                </c:manualLayout>
              </c:layout>
              <c:tx>
                <c:rich>
                  <a:bodyPr wrap="square" lIns="38100" tIns="19050" rIns="38100" bIns="19050" anchor="ctr">
                    <a:spAutoFit/>
                  </a:bodyPr>
                  <a:lstStyle/>
                  <a:p>
                    <a:pPr>
                      <a:defRPr sz="800" b="1">
                        <a:solidFill>
                          <a:srgbClr val="002060"/>
                        </a:solidFill>
                      </a:defRPr>
                    </a:pPr>
                    <a:fld id="{6F16FD5B-AA36-42EC-B91D-46C0E1253ABD}" type="VALUE">
                      <a:rPr lang="en-US" b="1" smtClean="0">
                        <a:solidFill>
                          <a:srgbClr val="002060"/>
                        </a:solidFill>
                      </a:rPr>
                      <a:pPr>
                        <a:defRPr sz="800" b="1">
                          <a:solidFill>
                            <a:srgbClr val="002060"/>
                          </a:solidFill>
                        </a:defRPr>
                      </a:pPr>
                      <a:t>[VALUE]</a:t>
                    </a:fld>
                    <a:endParaRPr lang="en-GB"/>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036D-4791-9BAF-F637262AD92B}"/>
                </c:ext>
              </c:extLst>
            </c:dLbl>
            <c:dLbl>
              <c:idx val="3"/>
              <c:layout>
                <c:manualLayout>
                  <c:x val="-3.5024167252062865E-3"/>
                  <c:y val="-0.21116261807384987"/>
                </c:manualLayout>
              </c:layout>
              <c:tx>
                <c:rich>
                  <a:bodyPr wrap="square" lIns="38100" tIns="19050" rIns="38100" bIns="19050" anchor="ctr">
                    <a:spAutoFit/>
                  </a:bodyPr>
                  <a:lstStyle/>
                  <a:p>
                    <a:pPr>
                      <a:defRPr sz="800" b="1">
                        <a:solidFill>
                          <a:srgbClr val="002060"/>
                        </a:solidFill>
                      </a:defRPr>
                    </a:pPr>
                    <a:fld id="{50F50371-9409-4275-9F2F-44792D5EC982}" type="VALUE">
                      <a:rPr lang="en-US" b="1" smtClean="0">
                        <a:solidFill>
                          <a:srgbClr val="002060"/>
                        </a:solidFill>
                      </a:rPr>
                      <a:pPr>
                        <a:defRPr sz="800" b="1">
                          <a:solidFill>
                            <a:srgbClr val="002060"/>
                          </a:solidFill>
                        </a:defRPr>
                      </a:pPr>
                      <a:t>[VALUE]</a:t>
                    </a:fld>
                    <a:endParaRPr lang="en-GB"/>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036D-4791-9BAF-F637262AD92B}"/>
                </c:ext>
              </c:extLst>
            </c:dLbl>
            <c:dLbl>
              <c:idx val="4"/>
              <c:layout>
                <c:manualLayout>
                  <c:x val="-5.8627284901557734E-4"/>
                  <c:y val="-6.3333210254895508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F80775B7-9C0E-472D-952E-E478A056E8D0}"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5.4468370274992579E-2"/>
                      <c:h val="7.1145737178303733E-2"/>
                    </c:manualLayout>
                  </c15:layout>
                  <c15:dlblFieldTable/>
                  <c15:showDataLabelsRange val="0"/>
                </c:ext>
                <c:ext xmlns:c16="http://schemas.microsoft.com/office/drawing/2014/chart" uri="{C3380CC4-5D6E-409C-BE32-E72D297353CC}">
                  <c16:uniqueId val="{00000008-036D-4791-9BAF-F637262AD92B}"/>
                </c:ext>
              </c:extLst>
            </c:dLbl>
            <c:dLbl>
              <c:idx val="5"/>
              <c:layout>
                <c:manualLayout>
                  <c:x val="1.7636899838518211E-3"/>
                  <c:y val="-0.24313751553865279"/>
                </c:manualLayout>
              </c:layout>
              <c:numFmt formatCode="#,##0.0" sourceLinked="0"/>
              <c:spPr>
                <a:noFill/>
                <a:ln>
                  <a:noFill/>
                </a:ln>
                <a:effectLst/>
              </c:spPr>
              <c:txPr>
                <a:bodyPr wrap="square" lIns="38100" tIns="19050" rIns="38100" bIns="19050" anchor="ctr">
                  <a:spAutoFit/>
                </a:bodyPr>
                <a:lstStyle/>
                <a:p>
                  <a:pPr>
                    <a:defRPr sz="800" b="0">
                      <a:solidFill>
                        <a:schemeClr val="tx1"/>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36D-4791-9BAF-F637262AD92B}"/>
                </c:ext>
              </c:extLst>
            </c:dLbl>
            <c:dLbl>
              <c:idx val="6"/>
              <c:tx>
                <c:rich>
                  <a:bodyPr/>
                  <a:lstStyle/>
                  <a:p>
                    <a:r>
                      <a:rPr lang="en-US" dirty="0"/>
                      <a:t>-</a:t>
                    </a:r>
                    <a:fld id="{51AAF8A2-BE80-43CD-8F75-426AD9B2DB42}" type="VALUE">
                      <a:rPr lang="en-US" smtClean="0"/>
                      <a:pPr/>
                      <a:t>[VALUE]</a:t>
                    </a:fld>
                    <a:endParaRPr lang="en-US" dirty="0"/>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36D-4791-9BAF-F637262AD92B}"/>
                </c:ext>
              </c:extLst>
            </c:dLbl>
            <c:dLbl>
              <c:idx val="7"/>
              <c:layout>
                <c:manualLayout>
                  <c:x val="1.3789835732718784E-7"/>
                  <c:y val="-3.4062696156260383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8ECA1770-2F3F-42F5-892C-61D4E3F2297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C-036D-4791-9BAF-F637262AD92B}"/>
                </c:ext>
              </c:extLst>
            </c:dLbl>
            <c:dLbl>
              <c:idx val="8"/>
              <c:layout>
                <c:manualLayout>
                  <c:x val="-2.8591845408219127E-3"/>
                  <c:y val="-5.4200297849819688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0D-036D-4791-9BAF-F637262AD92B}"/>
                </c:ext>
              </c:extLst>
            </c:dLbl>
            <c:dLbl>
              <c:idx val="9"/>
              <c:layout>
                <c:manualLayout>
                  <c:x val="-7.308637447398574E-5"/>
                  <c:y val="-5.8186065154761171E-2"/>
                </c:manualLayout>
              </c:layout>
              <c:tx>
                <c:rich>
                  <a:bodyPr wrap="square" lIns="38100" tIns="19050" rIns="38100" bIns="19050" anchor="ctr">
                    <a:spAutoFit/>
                  </a:bodyPr>
                  <a:lstStyle/>
                  <a:p>
                    <a:pPr>
                      <a:defRPr sz="800" b="0">
                        <a:solidFill>
                          <a:schemeClr val="tx1"/>
                        </a:solidFill>
                      </a:defRPr>
                    </a:pPr>
                    <a:r>
                      <a:rPr lang="en-US" sz="800" b="0" dirty="0">
                        <a:solidFill>
                          <a:schemeClr val="tx1"/>
                        </a:solidFill>
                      </a:rPr>
                      <a:t>+</a:t>
                    </a:r>
                    <a:fld id="{CAFD8BFC-0DE0-4924-8C65-C94BDDE8A29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036D-4791-9BAF-F637262AD92B}"/>
                </c:ext>
              </c:extLst>
            </c:dLbl>
            <c:dLbl>
              <c:idx val="10"/>
              <c:layout>
                <c:manualLayout>
                  <c:x val="8.3407260181212893E-4"/>
                  <c:y val="-0.248258070868564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36D-4791-9BAF-F637262AD92B}"/>
                </c:ext>
              </c:extLst>
            </c:dLbl>
            <c:dLbl>
              <c:idx val="11"/>
              <c:layout>
                <c:manualLayout>
                  <c:x val="-3.7375520387904928E-3"/>
                  <c:y val="-4.3018903164110611E-2"/>
                </c:manualLayout>
              </c:layout>
              <c:tx>
                <c:rich>
                  <a:bodyPr/>
                  <a:lstStyle/>
                  <a:p>
                    <a:r>
                      <a:rPr lang="en-US" dirty="0"/>
                      <a:t>+</a:t>
                    </a:r>
                    <a:fld id="{C0BBF676-306B-41EE-B67B-8CB6544E154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036D-4791-9BAF-F637262AD92B}"/>
                </c:ext>
              </c:extLst>
            </c:dLbl>
            <c:dLbl>
              <c:idx val="12"/>
              <c:layout>
                <c:manualLayout>
                  <c:x val="3.3246151556871699E-4"/>
                  <c:y val="-5.0027938805400712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36D-4791-9BAF-F637262AD92B}"/>
                </c:ext>
              </c:extLst>
            </c:dLbl>
            <c:dLbl>
              <c:idx val="13"/>
              <c:layout>
                <c:manualLayout>
                  <c:x val="1.6253358438825542E-3"/>
                  <c:y val="-4.8002067717756558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036D-4791-9BAF-F637262AD92B}"/>
                </c:ext>
              </c:extLst>
            </c:dLbl>
            <c:dLbl>
              <c:idx val="14"/>
              <c:layout>
                <c:manualLayout>
                  <c:x val="-3.1103339015143807E-4"/>
                  <c:y val="-4.2053440657731173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36D-4791-9BAF-F637262AD92B}"/>
                </c:ext>
              </c:extLst>
            </c:dLbl>
            <c:dLbl>
              <c:idx val="15"/>
              <c:layout>
                <c:manualLayout>
                  <c:x val="-9.4294921183888706E-5"/>
                  <c:y val="-0.2695777178796046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36D-4791-9BAF-F637262AD92B}"/>
                </c:ext>
              </c:extLst>
            </c:dLbl>
            <c:dLbl>
              <c:idx val="16"/>
              <c:layout>
                <c:manualLayout>
                  <c:x val="-1.7797693755224999E-3"/>
                  <c:y val="3.3148469519624857E-2"/>
                </c:manualLayout>
              </c:layout>
              <c:tx>
                <c:rich>
                  <a:bodyPr/>
                  <a:lstStyle/>
                  <a:p>
                    <a:r>
                      <a:rPr lang="en-US" dirty="0"/>
                      <a:t>-</a:t>
                    </a:r>
                    <a:fld id="{78A118A8-19A8-495C-9CB0-5D57EFED573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036D-4791-9BAF-F637262AD92B}"/>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36D-4791-9BAF-F637262AD92B}"/>
                </c:ext>
              </c:extLst>
            </c:dLbl>
            <c:dLbl>
              <c:idx val="18"/>
              <c:layout>
                <c:manualLayout>
                  <c:x val="-8.8988468776118467E-4"/>
                  <c:y val="-4.6495833794877477E-2"/>
                </c:manualLayout>
              </c:layout>
              <c:tx>
                <c:rich>
                  <a:bodyPr wrap="square" lIns="38100" tIns="19050" rIns="38100" bIns="19050" anchor="ctr">
                    <a:noAutofit/>
                  </a:bodyPr>
                  <a:lstStyle/>
                  <a:p>
                    <a:pPr>
                      <a:defRPr sz="800" b="0">
                        <a:solidFill>
                          <a:schemeClr val="tx1"/>
                        </a:solidFill>
                      </a:defRPr>
                    </a:pPr>
                    <a:r>
                      <a:rPr lang="en-US" b="0" dirty="0">
                        <a:solidFill>
                          <a:schemeClr val="tx1"/>
                        </a:solidFill>
                      </a:rPr>
                      <a:t>+</a:t>
                    </a:r>
                    <a:fld id="{923CAE52-84B6-4CEA-9DCB-33D5CDBA04C5}" type="VALUE">
                      <a:rPr lang="en-US" b="0" smtClean="0">
                        <a:solidFill>
                          <a:schemeClr val="tx1"/>
                        </a:solidFill>
                      </a:rPr>
                      <a:pPr>
                        <a:defRPr sz="800" b="0">
                          <a:solidFill>
                            <a:schemeClr val="tx1"/>
                          </a:solidFill>
                        </a:defRPr>
                      </a:pPr>
                      <a:t>[VALUE]</a:t>
                    </a:fld>
                    <a:endParaRPr lang="en-US"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6-036D-4791-9BAF-F637262AD92B}"/>
                </c:ext>
              </c:extLst>
            </c:dLbl>
            <c:dLbl>
              <c:idx val="19"/>
              <c:layout>
                <c:manualLayout>
                  <c:x val="-1.7959085725332087E-3"/>
                  <c:y val="-5.3532720402712647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036D-4791-9BAF-F637262AD92B}"/>
                </c:ext>
              </c:extLst>
            </c:dLbl>
            <c:dLbl>
              <c:idx val="20"/>
              <c:layout>
                <c:manualLayout>
                  <c:x val="-1.2933577138459919E-16"/>
                  <c:y val="-0.274494455316373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36D-4791-9BAF-F637262AD92B}"/>
                </c:ext>
              </c:extLst>
            </c:dLbl>
            <c:dLbl>
              <c:idx val="21"/>
              <c:layout>
                <c:manualLayout>
                  <c:x val="-2.6455349757777361E-3"/>
                  <c:y val="3.6875284618887554E-2"/>
                </c:manualLayout>
              </c:layout>
              <c:tx>
                <c:rich>
                  <a:bodyPr/>
                  <a:lstStyle/>
                  <a:p>
                    <a:r>
                      <a:rPr lang="en-US" dirty="0" smtClean="0"/>
                      <a:t>-</a:t>
                    </a:r>
                    <a:fld id="{03E75786-1EE0-4C2B-82F1-C9CC22BDC022}" type="VALUE">
                      <a:rPr lang="en-US" smtClean="0"/>
                      <a:pPr/>
                      <a:t>[VALUE]</a:t>
                    </a:fld>
                    <a:endParaRPr lang="en-US" dirty="0" smtClean="0"/>
                  </a:p>
                </c:rich>
              </c:tx>
              <c:dLblPos val="ctr"/>
              <c:showLegendKey val="0"/>
              <c:showVal val="1"/>
              <c:showCatName val="0"/>
              <c:showSerName val="0"/>
              <c:showPercent val="0"/>
              <c:showBubbleSize val="0"/>
              <c:extLs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B-036D-4791-9BAF-F637262AD92B}"/>
                </c:ext>
              </c:extLst>
            </c:dLbl>
            <c:dLbl>
              <c:idx val="22"/>
              <c:layout>
                <c:manualLayout>
                  <c:x val="8.5184837487772217E-4"/>
                  <c:y val="-0.2701347708894879"/>
                </c:manualLayout>
              </c:layout>
              <c:tx>
                <c:rich>
                  <a:bodyPr wrap="square" lIns="38100" tIns="19050" rIns="38100" bIns="19050" anchor="ctr" anchorCtr="0">
                    <a:noAutofit/>
                  </a:bodyPr>
                  <a:lstStyle/>
                  <a:p>
                    <a:pPr algn="ctr">
                      <a:defRPr sz="800" b="0">
                        <a:solidFill>
                          <a:schemeClr val="tx1"/>
                        </a:solidFill>
                      </a:defRPr>
                    </a:pPr>
                    <a:fld id="{1D9FBD81-FFF4-4C5F-92BE-5CBC295F4D52}" type="VALUE">
                      <a:rPr lang="en-US" sz="800" b="0">
                        <a:solidFill>
                          <a:schemeClr val="tx1"/>
                        </a:solidFill>
                      </a:rPr>
                      <a:pPr algn="ctr">
                        <a:defRPr sz="800" b="0">
                          <a:solidFill>
                            <a:schemeClr val="tx1"/>
                          </a:solidFill>
                        </a:defRPr>
                      </a:pPr>
                      <a:t>[VALUE]</a:t>
                    </a:fld>
                    <a:endParaRPr lang="en-GB"/>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9-036D-4791-9BAF-F637262AD92B}"/>
                </c:ext>
              </c:extLst>
            </c:dLbl>
            <c:spPr>
              <a:noFill/>
              <a:ln>
                <a:noFill/>
              </a:ln>
              <a:effectLst/>
            </c:spPr>
            <c:txPr>
              <a:bodyPr wrap="square" lIns="38100" tIns="19050" rIns="38100" bIns="19050" anchor="ctr">
                <a:spAutoFit/>
              </a:bodyPr>
              <a:lstStyle/>
              <a:p>
                <a:pPr>
                  <a:defRPr sz="800" b="0">
                    <a:solidFill>
                      <a:schemeClr val="tx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Sheet1!$A$4:$A$7</c:f>
              <c:strCache>
                <c:ptCount val="4"/>
                <c:pt idx="0">
                  <c:v>2018</c:v>
                </c:pt>
                <c:pt idx="1">
                  <c:v>2019</c:v>
                </c:pt>
                <c:pt idx="2">
                  <c:v>Δ Ιαν. - Φεβ. 2020</c:v>
                </c:pt>
                <c:pt idx="3">
                  <c:v>Δ 
Μαρ. - Μάιος 2020</c:v>
                </c:pt>
              </c:strCache>
            </c:strRef>
          </c:cat>
          <c:val>
            <c:numRef>
              <c:f>Sheet1!$C$4:$C$7</c:f>
              <c:numCache>
                <c:formatCode>#,##0.0</c:formatCode>
                <c:ptCount val="4"/>
                <c:pt idx="0">
                  <c:v>3.1</c:v>
                </c:pt>
                <c:pt idx="1">
                  <c:v>3.9</c:v>
                </c:pt>
                <c:pt idx="2">
                  <c:v>0.2</c:v>
                </c:pt>
                <c:pt idx="3">
                  <c:v>1.8</c:v>
                </c:pt>
              </c:numCache>
            </c:numRef>
          </c:val>
          <c:extLst>
            <c:ext xmlns:c16="http://schemas.microsoft.com/office/drawing/2014/chart" uri="{C3380CC4-5D6E-409C-BE32-E72D297353CC}">
              <c16:uniqueId val="{0000001C-036D-4791-9BAF-F637262AD92B}"/>
            </c:ext>
          </c:extLst>
        </c:ser>
        <c:ser>
          <c:idx val="2"/>
          <c:order val="2"/>
          <c:tx>
            <c:strRef>
              <c:f>Sheet1!$D$3</c:f>
              <c:strCache>
                <c:ptCount val="1"/>
                <c:pt idx="0">
                  <c:v>Total</c:v>
                </c:pt>
              </c:strCache>
            </c:strRef>
          </c:tx>
          <c:spPr>
            <a:noFill/>
            <a:ln>
              <a:noFill/>
            </a:ln>
            <a:effectLst/>
          </c:spPr>
          <c:invertIfNegative val="0"/>
          <c:cat>
            <c:strRef>
              <c:f>Sheet1!$A$4:$A$7</c:f>
              <c:strCache>
                <c:ptCount val="4"/>
                <c:pt idx="0">
                  <c:v>2018</c:v>
                </c:pt>
                <c:pt idx="1">
                  <c:v>2019</c:v>
                </c:pt>
                <c:pt idx="2">
                  <c:v>Δ Ιαν. - Φεβ. 2020</c:v>
                </c:pt>
                <c:pt idx="3">
                  <c:v>Δ 
Μαρ. - Μάιος 2020</c:v>
                </c:pt>
              </c:strCache>
            </c:strRef>
          </c:cat>
          <c:val>
            <c:numRef>
              <c:f>Sheet1!$D$4:$D$7</c:f>
              <c:numCache>
                <c:formatCode>#,##0.0</c:formatCode>
                <c:ptCount val="4"/>
                <c:pt idx="0">
                  <c:v>3.1</c:v>
                </c:pt>
                <c:pt idx="1">
                  <c:v>3.9</c:v>
                </c:pt>
                <c:pt idx="2">
                  <c:v>0.2</c:v>
                </c:pt>
                <c:pt idx="3">
                  <c:v>1.8</c:v>
                </c:pt>
              </c:numCache>
            </c:numRef>
          </c:val>
          <c:extLst>
            <c:ext xmlns:c16="http://schemas.microsoft.com/office/drawing/2014/chart" uri="{C3380CC4-5D6E-409C-BE32-E72D297353CC}">
              <c16:uniqueId val="{0000001D-036D-4791-9BAF-F637262AD92B}"/>
            </c:ext>
          </c:extLst>
        </c:ser>
        <c:dLbls>
          <c:showLegendKey val="0"/>
          <c:showVal val="0"/>
          <c:showCatName val="0"/>
          <c:showSerName val="0"/>
          <c:showPercent val="0"/>
          <c:showBubbleSize val="0"/>
        </c:dLbls>
        <c:gapWidth val="100"/>
        <c:overlap val="100"/>
        <c:axId val="681603360"/>
        <c:axId val="681604928"/>
      </c:barChart>
      <c:catAx>
        <c:axId val="681603360"/>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85000"/>
                    <a:lumOff val="15000"/>
                  </a:schemeClr>
                </a:solidFill>
                <a:latin typeface="Calibri" panose="020F0502020204030204" pitchFamily="34" charset="0"/>
                <a:ea typeface="+mn-ea"/>
                <a:cs typeface="+mn-cs"/>
              </a:defRPr>
            </a:pPr>
            <a:endParaRPr lang="en-US"/>
          </a:p>
        </c:txPr>
        <c:crossAx val="681604928"/>
        <c:crosses val="autoZero"/>
        <c:auto val="1"/>
        <c:lblAlgn val="ctr"/>
        <c:lblOffset val="100"/>
        <c:noMultiLvlLbl val="0"/>
      </c:catAx>
      <c:valAx>
        <c:axId val="681604928"/>
        <c:scaling>
          <c:orientation val="minMax"/>
          <c:max val="4"/>
          <c:min val="0"/>
        </c:scaling>
        <c:delete val="1"/>
        <c:axPos val="l"/>
        <c:majorGridlines>
          <c:spPr>
            <a:ln w="9525" cap="flat" cmpd="sng" algn="ctr">
              <a:noFill/>
              <a:round/>
            </a:ln>
            <a:effectLst/>
          </c:spPr>
        </c:majorGridlines>
        <c:numFmt formatCode="#,##0.0" sourceLinked="1"/>
        <c:majorTickMark val="out"/>
        <c:minorTickMark val="none"/>
        <c:tickLblPos val="nextTo"/>
        <c:crossAx val="681603360"/>
        <c:crosses val="autoZero"/>
        <c:crossBetween val="between"/>
        <c:majorUnit val="0.1"/>
      </c:valAx>
      <c:spPr>
        <a:noFill/>
        <a:ln>
          <a:noFill/>
        </a:ln>
        <a:effectLst/>
      </c:spPr>
    </c:plotArea>
    <c:plotVisOnly val="1"/>
    <c:dispBlanksAs val="gap"/>
    <c:showDLblsOverMax val="0"/>
  </c:chart>
  <c:spPr>
    <a:noFill/>
    <a:ln>
      <a:noFill/>
    </a:ln>
    <a:effectLst/>
  </c:spPr>
  <c:txPr>
    <a:bodyPr/>
    <a:lstStyle/>
    <a:p>
      <a:pPr>
        <a:defRPr sz="8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66655761655294E-2"/>
          <c:y val="0.15637009870807569"/>
          <c:w val="0.86960996154550452"/>
          <c:h val="0.71844953155690106"/>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extLst>
              <c:ext xmlns:c16="http://schemas.microsoft.com/office/drawing/2014/chart" uri="{C3380CC4-5D6E-409C-BE32-E72D297353CC}">
                <c16:uniqueId val="{00000000-B80A-4759-855E-6C828A396F6D}"/>
              </c:ext>
            </c:extLst>
          </c:dPt>
          <c:dPt>
            <c:idx val="3"/>
            <c:invertIfNegative val="0"/>
            <c:bubble3D val="0"/>
            <c:extLst>
              <c:ext xmlns:c16="http://schemas.microsoft.com/office/drawing/2014/chart" uri="{C3380CC4-5D6E-409C-BE32-E72D297353CC}">
                <c16:uniqueId val="{00000001-B80A-4759-855E-6C828A396F6D}"/>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B80A-4759-855E-6C828A396F6D}"/>
              </c:ext>
            </c:extLst>
          </c:dPt>
          <c:dPt>
            <c:idx val="5"/>
            <c:invertIfNegative val="0"/>
            <c:bubble3D val="0"/>
            <c:extLst>
              <c:ext xmlns:c16="http://schemas.microsoft.com/office/drawing/2014/chart" uri="{C3380CC4-5D6E-409C-BE32-E72D297353CC}">
                <c16:uniqueId val="{00000004-B80A-4759-855E-6C828A396F6D}"/>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B80A-4759-855E-6C828A396F6D}"/>
              </c:ext>
            </c:extLst>
          </c:dPt>
          <c:dPt>
            <c:idx val="7"/>
            <c:invertIfNegative val="0"/>
            <c:bubble3D val="0"/>
            <c:extLst>
              <c:ext xmlns:c16="http://schemas.microsoft.com/office/drawing/2014/chart" uri="{C3380CC4-5D6E-409C-BE32-E72D297353CC}">
                <c16:uniqueId val="{00000007-B80A-4759-855E-6C828A396F6D}"/>
              </c:ext>
            </c:extLst>
          </c:dPt>
          <c:dPt>
            <c:idx val="8"/>
            <c:invertIfNegative val="0"/>
            <c:bubble3D val="0"/>
            <c:extLst>
              <c:ext xmlns:c16="http://schemas.microsoft.com/office/drawing/2014/chart" uri="{C3380CC4-5D6E-409C-BE32-E72D297353CC}">
                <c16:uniqueId val="{00000008-B80A-4759-855E-6C828A396F6D}"/>
              </c:ext>
            </c:extLst>
          </c:dPt>
          <c:dLbls>
            <c:dLbl>
              <c:idx val="0"/>
              <c:layout>
                <c:manualLayout>
                  <c:x val="5.5663790704146955E-3"/>
                  <c:y val="2.5359256128486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80A-4759-855E-6C828A396F6D}"/>
                </c:ext>
              </c:extLst>
            </c:dLbl>
            <c:dLbl>
              <c:idx val="1"/>
              <c:layout>
                <c:manualLayout>
                  <c:x val="-8.5370553780378788E-3"/>
                  <c:y val="2.1132713440405709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B80A-4759-855E-6C828A396F6D}"/>
                </c:ext>
              </c:extLst>
            </c:dLbl>
            <c:dLbl>
              <c:idx val="2"/>
              <c:layout>
                <c:manualLayout>
                  <c:x val="-8.5370553780379568E-3"/>
                  <c:y val="2.535925612848686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B80A-4759-855E-6C828A396F6D}"/>
                </c:ext>
              </c:extLst>
            </c:dLbl>
            <c:dLbl>
              <c:idx val="3"/>
              <c:layout>
                <c:manualLayout>
                  <c:x val="-1.0434332127233232E-16"/>
                  <c:y val="3.3812341504649117E-2"/>
                </c:manualLayout>
              </c:layout>
              <c:tx>
                <c:rich>
                  <a:bodyPr/>
                  <a:lstStyle/>
                  <a:p>
                    <a:fld id="{62419BC0-8783-468B-9029-E1A00A97C425}" type="VALUE">
                      <a:rPr lang="en-US" b="0">
                        <a:solidFill>
                          <a:sysClr val="windowText" lastClr="000000"/>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80A-4759-855E-6C828A396F6D}"/>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n-GB"/>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80A-4759-855E-6C828A396F6D}"/>
                </c:ext>
              </c:extLst>
            </c:dLbl>
            <c:dLbl>
              <c:idx val="5"/>
              <c:layout>
                <c:manualLayout>
                  <c:x val="5.5663790704146955E-3"/>
                  <c:y val="2.5359256128486898E-2"/>
                </c:manualLayout>
              </c:layout>
              <c:tx>
                <c:rich>
                  <a:bodyPr/>
                  <a:lstStyle/>
                  <a:p>
                    <a:fld id="{AF711C50-0C61-4F2B-B7E2-FEF5E814FA8B}" type="VALUE">
                      <a:rPr lang="en-US" b="0">
                        <a:solidFill>
                          <a:sysClr val="windowText" lastClr="000000"/>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80A-4759-855E-6C828A396F6D}"/>
                </c:ext>
              </c:extLst>
            </c:dLbl>
            <c:dLbl>
              <c:idx val="6"/>
              <c:layout>
                <c:manualLayout>
                  <c:x val="5.44145129269189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0A-4759-855E-6C828A396F6D}"/>
                </c:ext>
              </c:extLst>
            </c:dLbl>
            <c:dLbl>
              <c:idx val="7"/>
              <c:layout>
                <c:manualLayout>
                  <c:x val="-5.566379070414695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0A-4759-855E-6C828A396F6D}"/>
                </c:ext>
              </c:extLst>
            </c:dLbl>
            <c:dLbl>
              <c:idx val="8"/>
              <c:layout>
                <c:manualLayout>
                  <c:x val="5.5663790704146955E-3"/>
                  <c:y val="3.38123415046491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0A-4759-855E-6C828A396F6D}"/>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Μαρ.19</c:v>
                </c:pt>
                <c:pt idx="1">
                  <c:v>Ιουν.19</c:v>
                </c:pt>
                <c:pt idx="2">
                  <c:v>Σεπ.19</c:v>
                </c:pt>
                <c:pt idx="3">
                  <c:v>Δεκ.19</c:v>
                </c:pt>
                <c:pt idx="4">
                  <c:v>Μαρ.20</c:v>
                </c:pt>
              </c:strCache>
            </c:strRef>
          </c:cat>
          <c:val>
            <c:numRef>
              <c:f>Sheet1!$B$2:$B$10</c:f>
              <c:numCache>
                <c:formatCode>0.0</c:formatCode>
                <c:ptCount val="5"/>
                <c:pt idx="0">
                  <c:v>24.466615618980033</c:v>
                </c:pt>
                <c:pt idx="1">
                  <c:v>24.359803478010011</c:v>
                </c:pt>
                <c:pt idx="2">
                  <c:v>23.593994055999985</c:v>
                </c:pt>
                <c:pt idx="3">
                  <c:v>23.668732122399987</c:v>
                </c:pt>
                <c:pt idx="4">
                  <c:v>24.1</c:v>
                </c:pt>
              </c:numCache>
            </c:numRef>
          </c:val>
          <c:extLst>
            <c:ext xmlns:c16="http://schemas.microsoft.com/office/drawing/2014/chart" uri="{C3380CC4-5D6E-409C-BE32-E72D297353CC}">
              <c16:uniqueId val="{0000000B-B80A-4759-855E-6C828A396F6D}"/>
            </c:ext>
          </c:extLst>
        </c:ser>
        <c:ser>
          <c:idx val="1"/>
          <c:order val="1"/>
          <c:tx>
            <c:strRef>
              <c:f>Sheet1!$C$1</c:f>
              <c:strCache>
                <c:ptCount val="1"/>
                <c:pt idx="0">
                  <c:v>Series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Μαρ.19</c:v>
                </c:pt>
                <c:pt idx="1">
                  <c:v>Ιουν.19</c:v>
                </c:pt>
                <c:pt idx="2">
                  <c:v>Σεπ.19</c:v>
                </c:pt>
                <c:pt idx="3">
                  <c:v>Δεκ.19</c:v>
                </c:pt>
                <c:pt idx="4">
                  <c:v>Μαρ.20</c:v>
                </c:pt>
              </c:strCache>
            </c:strRef>
          </c:cat>
          <c:val>
            <c:numRef>
              <c:f>Sheet1!$C$2:$C$10</c:f>
              <c:numCache>
                <c:formatCode>General</c:formatCode>
                <c:ptCount val="5"/>
              </c:numCache>
            </c:numRef>
          </c:val>
          <c:extLst>
            <c:ext xmlns:c16="http://schemas.microsoft.com/office/drawing/2014/chart" uri="{C3380CC4-5D6E-409C-BE32-E72D297353CC}">
              <c16:uniqueId val="{0000000C-B80A-4759-855E-6C828A396F6D}"/>
            </c:ext>
          </c:extLst>
        </c:ser>
        <c:dLbls>
          <c:dLblPos val="outEnd"/>
          <c:showLegendKey val="0"/>
          <c:showVal val="1"/>
          <c:showCatName val="0"/>
          <c:showSerName val="0"/>
          <c:showPercent val="0"/>
          <c:showBubbleSize val="0"/>
        </c:dLbls>
        <c:gapWidth val="56"/>
        <c:overlap val="40"/>
        <c:axId val="624113520"/>
        <c:axId val="624115480"/>
      </c:barChart>
      <c:catAx>
        <c:axId val="624113520"/>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85000"/>
                    <a:lumOff val="15000"/>
                  </a:schemeClr>
                </a:solidFill>
                <a:latin typeface="+mn-lt"/>
                <a:ea typeface="+mn-ea"/>
                <a:cs typeface="+mn-cs"/>
              </a:defRPr>
            </a:pPr>
            <a:endParaRPr lang="en-US"/>
          </a:p>
        </c:txPr>
        <c:crossAx val="624115480"/>
        <c:crosses val="autoZero"/>
        <c:auto val="1"/>
        <c:lblAlgn val="l"/>
        <c:lblOffset val="100"/>
        <c:noMultiLvlLbl val="0"/>
      </c:catAx>
      <c:valAx>
        <c:axId val="624115480"/>
        <c:scaling>
          <c:orientation val="minMax"/>
          <c:max val="35"/>
          <c:min val="0"/>
        </c:scaling>
        <c:delete val="1"/>
        <c:axPos val="l"/>
        <c:numFmt formatCode="0.0" sourceLinked="1"/>
        <c:majorTickMark val="out"/>
        <c:minorTickMark val="none"/>
        <c:tickLblPos val="nextTo"/>
        <c:crossAx val="624113520"/>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02E-2"/>
          <c:y val="0.22399478171737408"/>
          <c:w val="0.86960996154550452"/>
          <c:h val="0.65082500782076802"/>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extLst>
              <c:ext xmlns:c16="http://schemas.microsoft.com/office/drawing/2014/chart" uri="{C3380CC4-5D6E-409C-BE32-E72D297353CC}">
                <c16:uniqueId val="{00000000-882F-4573-9B93-A94167DBE36A}"/>
              </c:ext>
            </c:extLst>
          </c:dPt>
          <c:dPt>
            <c:idx val="3"/>
            <c:invertIfNegative val="0"/>
            <c:bubble3D val="0"/>
            <c:extLst>
              <c:ext xmlns:c16="http://schemas.microsoft.com/office/drawing/2014/chart" uri="{C3380CC4-5D6E-409C-BE32-E72D297353CC}">
                <c16:uniqueId val="{00000001-882F-4573-9B93-A94167DBE36A}"/>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882F-4573-9B93-A94167DBE36A}"/>
              </c:ext>
            </c:extLst>
          </c:dPt>
          <c:dPt>
            <c:idx val="5"/>
            <c:invertIfNegative val="0"/>
            <c:bubble3D val="0"/>
            <c:extLst>
              <c:ext xmlns:c16="http://schemas.microsoft.com/office/drawing/2014/chart" uri="{C3380CC4-5D6E-409C-BE32-E72D297353CC}">
                <c16:uniqueId val="{00000004-882F-4573-9B93-A94167DBE36A}"/>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882F-4573-9B93-A94167DBE36A}"/>
              </c:ext>
            </c:extLst>
          </c:dPt>
          <c:dPt>
            <c:idx val="7"/>
            <c:invertIfNegative val="0"/>
            <c:bubble3D val="0"/>
            <c:extLst>
              <c:ext xmlns:c16="http://schemas.microsoft.com/office/drawing/2014/chart" uri="{C3380CC4-5D6E-409C-BE32-E72D297353CC}">
                <c16:uniqueId val="{00000007-882F-4573-9B93-A94167DBE36A}"/>
              </c:ext>
            </c:extLst>
          </c:dPt>
          <c:dPt>
            <c:idx val="8"/>
            <c:invertIfNegative val="0"/>
            <c:bubble3D val="0"/>
            <c:extLst>
              <c:ext xmlns:c16="http://schemas.microsoft.com/office/drawing/2014/chart" uri="{C3380CC4-5D6E-409C-BE32-E72D297353CC}">
                <c16:uniqueId val="{00000008-882F-4573-9B93-A94167DBE36A}"/>
              </c:ext>
            </c:extLst>
          </c:dPt>
          <c:dLbls>
            <c:dLbl>
              <c:idx val="0"/>
              <c:layout>
                <c:manualLayout>
                  <c:x val="5.5663790704146955E-3"/>
                  <c:y val="2.5359256128486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82F-4573-9B93-A94167DBE36A}"/>
                </c:ext>
              </c:extLst>
            </c:dLbl>
            <c:dLbl>
              <c:idx val="1"/>
              <c:layout>
                <c:manualLayout>
                  <c:x val="5.6919677868951636E-3"/>
                  <c:y val="1.2679628064243409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366538346053357"/>
                      <c:h val="7.2231947337943705E-2"/>
                    </c:manualLayout>
                  </c15:layout>
                </c:ext>
                <c:ext xmlns:c16="http://schemas.microsoft.com/office/drawing/2014/chart" uri="{C3380CC4-5D6E-409C-BE32-E72D297353CC}">
                  <c16:uniqueId val="{0000000A-882F-4573-9B93-A94167DBE36A}"/>
                </c:ext>
              </c:extLst>
            </c:dLbl>
            <c:dLbl>
              <c:idx val="2"/>
              <c:layout>
                <c:manualLayout>
                  <c:x val="-8.5370553780379568E-3"/>
                  <c:y val="2.535925612848686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882F-4573-9B93-A94167DBE36A}"/>
                </c:ext>
              </c:extLst>
            </c:dLbl>
            <c:dLbl>
              <c:idx val="3"/>
              <c:layout>
                <c:manualLayout>
                  <c:x val="-1.0434332127233232E-16"/>
                  <c:y val="3.3812341504649117E-2"/>
                </c:manualLayout>
              </c:layout>
              <c:tx>
                <c:rich>
                  <a:bodyPr/>
                  <a:lstStyle/>
                  <a:p>
                    <a:fld id="{D02B203C-E0A9-4D59-B09F-76F52D2B2B7B}" type="VALUE">
                      <a:rPr lang="en-US" b="0">
                        <a:solidFill>
                          <a:sysClr val="windowText" lastClr="000000"/>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82F-4573-9B93-A94167DBE36A}"/>
                </c:ext>
              </c:extLst>
            </c:dLbl>
            <c:dLbl>
              <c:idx val="4"/>
              <c:layout>
                <c:manualLayout>
                  <c:x val="-5.1024552038822123E-17"/>
                  <c:y val="1.69061707523246E-2"/>
                </c:manualLayout>
              </c:layout>
              <c:tx>
                <c:rich>
                  <a:bodyPr wrap="square" lIns="38100" tIns="19050" rIns="38100" bIns="19050" anchor="ctr">
                    <a:spAutoFit/>
                  </a:bodyPr>
                  <a:lstStyle/>
                  <a:p>
                    <a:pPr>
                      <a:defRPr sz="800" b="1">
                        <a:solidFill>
                          <a:srgbClr val="002060"/>
                        </a:solidFill>
                      </a:defRPr>
                    </a:pPr>
                    <a:fld id="{C8EF18D2-FE44-45C6-AF4A-6412305388EB}" type="VALUE">
                      <a:rPr lang="en-US" sz="800" b="1">
                        <a:solidFill>
                          <a:srgbClr val="002060"/>
                        </a:solidFill>
                      </a:rPr>
                      <a:pPr>
                        <a:defRPr sz="800" b="1">
                          <a:solidFill>
                            <a:srgbClr val="002060"/>
                          </a:solidFill>
                        </a:defRPr>
                      </a:pPr>
                      <a:t>[VALUE]</a:t>
                    </a:fld>
                    <a:endParaRPr lang="en-GB"/>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82F-4573-9B93-A94167DBE36A}"/>
                </c:ext>
              </c:extLst>
            </c:dLbl>
            <c:dLbl>
              <c:idx val="5"/>
              <c:layout>
                <c:manualLayout>
                  <c:x val="5.5663790704146955E-3"/>
                  <c:y val="2.5359256128486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2F-4573-9B93-A94167DBE36A}"/>
                </c:ext>
              </c:extLst>
            </c:dLbl>
            <c:dLbl>
              <c:idx val="6"/>
              <c:layout>
                <c:manualLayout>
                  <c:x val="5.44145129269189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2F-4573-9B93-A94167DBE36A}"/>
                </c:ext>
              </c:extLst>
            </c:dLbl>
            <c:dLbl>
              <c:idx val="7"/>
              <c:layout>
                <c:manualLayout>
                  <c:x val="-5.566379070414695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2F-4573-9B93-A94167DBE36A}"/>
                </c:ext>
              </c:extLst>
            </c:dLbl>
            <c:dLbl>
              <c:idx val="8"/>
              <c:layout>
                <c:manualLayout>
                  <c:x val="5.5663790704146955E-3"/>
                  <c:y val="3.38123415046491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2F-4573-9B93-A94167DBE36A}"/>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Μαρ.19</c:v>
                </c:pt>
                <c:pt idx="1">
                  <c:v>Ιουν.19</c:v>
                </c:pt>
                <c:pt idx="2">
                  <c:v>Σεπ.19</c:v>
                </c:pt>
                <c:pt idx="3">
                  <c:v>Δεκ.19</c:v>
                </c:pt>
                <c:pt idx="4">
                  <c:v>Μαρ.20</c:v>
                </c:pt>
              </c:strCache>
            </c:strRef>
          </c:cat>
          <c:val>
            <c:numRef>
              <c:f>Sheet1!$B$2:$B$10</c:f>
              <c:numCache>
                <c:formatCode>0.0</c:formatCode>
                <c:ptCount val="5"/>
                <c:pt idx="0">
                  <c:v>26.020242891639967</c:v>
                </c:pt>
                <c:pt idx="1">
                  <c:v>25.242192164859993</c:v>
                </c:pt>
                <c:pt idx="2">
                  <c:v>24.838085254300012</c:v>
                </c:pt>
                <c:pt idx="3">
                  <c:v>23.73035743797001</c:v>
                </c:pt>
                <c:pt idx="4">
                  <c:v>23.381</c:v>
                </c:pt>
              </c:numCache>
            </c:numRef>
          </c:val>
          <c:extLst>
            <c:ext xmlns:c16="http://schemas.microsoft.com/office/drawing/2014/chart" uri="{C3380CC4-5D6E-409C-BE32-E72D297353CC}">
              <c16:uniqueId val="{0000000B-882F-4573-9B93-A94167DBE36A}"/>
            </c:ext>
          </c:extLst>
        </c:ser>
        <c:dLbls>
          <c:dLblPos val="outEnd"/>
          <c:showLegendKey val="0"/>
          <c:showVal val="1"/>
          <c:showCatName val="0"/>
          <c:showSerName val="0"/>
          <c:showPercent val="0"/>
          <c:showBubbleSize val="0"/>
        </c:dLbls>
        <c:gapWidth val="130"/>
        <c:overlap val="-24"/>
        <c:axId val="624116264"/>
        <c:axId val="624116656"/>
      </c:barChart>
      <c:catAx>
        <c:axId val="624116264"/>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85000"/>
                    <a:lumOff val="15000"/>
                  </a:schemeClr>
                </a:solidFill>
                <a:latin typeface="+mn-lt"/>
                <a:ea typeface="+mn-ea"/>
                <a:cs typeface="+mn-cs"/>
              </a:defRPr>
            </a:pPr>
            <a:endParaRPr lang="en-US"/>
          </a:p>
        </c:txPr>
        <c:crossAx val="624116656"/>
        <c:crosses val="autoZero"/>
        <c:auto val="1"/>
        <c:lblAlgn val="ctr"/>
        <c:lblOffset val="100"/>
        <c:noMultiLvlLbl val="0"/>
      </c:catAx>
      <c:valAx>
        <c:axId val="624116656"/>
        <c:scaling>
          <c:orientation val="minMax"/>
          <c:max val="35"/>
          <c:min val="0"/>
        </c:scaling>
        <c:delete val="1"/>
        <c:axPos val="l"/>
        <c:numFmt formatCode="0.0" sourceLinked="1"/>
        <c:majorTickMark val="out"/>
        <c:minorTickMark val="none"/>
        <c:tickLblPos val="nextTo"/>
        <c:crossAx val="624116264"/>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02E-2"/>
          <c:y val="0.15636995706662499"/>
          <c:w val="0.86960996154550452"/>
          <c:h val="0.71844953155690106"/>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extLst>
              <c:ext xmlns:c16="http://schemas.microsoft.com/office/drawing/2014/chart" uri="{C3380CC4-5D6E-409C-BE32-E72D297353CC}">
                <c16:uniqueId val="{00000000-E396-44FE-B2B4-338B8D6A3F23}"/>
              </c:ext>
            </c:extLst>
          </c:dPt>
          <c:dPt>
            <c:idx val="3"/>
            <c:invertIfNegative val="0"/>
            <c:bubble3D val="0"/>
            <c:extLst>
              <c:ext xmlns:c16="http://schemas.microsoft.com/office/drawing/2014/chart" uri="{C3380CC4-5D6E-409C-BE32-E72D297353CC}">
                <c16:uniqueId val="{00000001-E396-44FE-B2B4-338B8D6A3F23}"/>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E396-44FE-B2B4-338B8D6A3F23}"/>
              </c:ext>
            </c:extLst>
          </c:dPt>
          <c:dPt>
            <c:idx val="5"/>
            <c:invertIfNegative val="0"/>
            <c:bubble3D val="0"/>
            <c:extLst>
              <c:ext xmlns:c16="http://schemas.microsoft.com/office/drawing/2014/chart" uri="{C3380CC4-5D6E-409C-BE32-E72D297353CC}">
                <c16:uniqueId val="{00000004-E396-44FE-B2B4-338B8D6A3F23}"/>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E396-44FE-B2B4-338B8D6A3F23}"/>
              </c:ext>
            </c:extLst>
          </c:dPt>
          <c:dPt>
            <c:idx val="7"/>
            <c:invertIfNegative val="0"/>
            <c:bubble3D val="0"/>
            <c:extLst>
              <c:ext xmlns:c16="http://schemas.microsoft.com/office/drawing/2014/chart" uri="{C3380CC4-5D6E-409C-BE32-E72D297353CC}">
                <c16:uniqueId val="{00000007-E396-44FE-B2B4-338B8D6A3F23}"/>
              </c:ext>
            </c:extLst>
          </c:dPt>
          <c:dPt>
            <c:idx val="8"/>
            <c:invertIfNegative val="0"/>
            <c:bubble3D val="0"/>
            <c:extLst>
              <c:ext xmlns:c16="http://schemas.microsoft.com/office/drawing/2014/chart" uri="{C3380CC4-5D6E-409C-BE32-E72D297353CC}">
                <c16:uniqueId val="{00000008-E396-44FE-B2B4-338B8D6A3F23}"/>
              </c:ext>
            </c:extLst>
          </c:dPt>
          <c:dLbls>
            <c:dLbl>
              <c:idx val="0"/>
              <c:layout>
                <c:manualLayout>
                  <c:x val="5.5663790704146955E-3"/>
                  <c:y val="2.5359256128486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396-44FE-B2B4-338B8D6A3F23}"/>
                </c:ext>
              </c:extLst>
            </c:dLbl>
            <c:dLbl>
              <c:idx val="1"/>
              <c:layout>
                <c:manualLayout>
                  <c:x val="-8.5370553780378788E-3"/>
                  <c:y val="2.1132713440405709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E396-44FE-B2B4-338B8D6A3F23}"/>
                </c:ext>
              </c:extLst>
            </c:dLbl>
            <c:dLbl>
              <c:idx val="2"/>
              <c:layout>
                <c:manualLayout>
                  <c:x val="-8.5370553780379568E-3"/>
                  <c:y val="2.535925612848686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E396-44FE-B2B4-338B8D6A3F23}"/>
                </c:ext>
              </c:extLst>
            </c:dLbl>
            <c:dLbl>
              <c:idx val="3"/>
              <c:layout>
                <c:manualLayout>
                  <c:x val="-1.0434332127233232E-16"/>
                  <c:y val="3.3812341504649117E-2"/>
                </c:manualLayout>
              </c:layout>
              <c:tx>
                <c:rich>
                  <a:bodyPr/>
                  <a:lstStyle/>
                  <a:p>
                    <a:fld id="{62419BC0-8783-468B-9029-E1A00A97C425}" type="VALUE">
                      <a:rPr lang="en-US" b="0">
                        <a:solidFill>
                          <a:schemeClr val="tx1"/>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396-44FE-B2B4-338B8D6A3F23}"/>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n-GB"/>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396-44FE-B2B4-338B8D6A3F23}"/>
                </c:ext>
              </c:extLst>
            </c:dLbl>
            <c:dLbl>
              <c:idx val="5"/>
              <c:layout>
                <c:manualLayout>
                  <c:x val="5.5663790704146955E-3"/>
                  <c:y val="2.5359256128486898E-2"/>
                </c:manualLayout>
              </c:layout>
              <c:tx>
                <c:rich>
                  <a:bodyPr/>
                  <a:lstStyle/>
                  <a:p>
                    <a:fld id="{AF711C50-0C61-4F2B-B7E2-FEF5E814FA8B}" type="VALUE">
                      <a:rPr lang="en-US">
                        <a:solidFill>
                          <a:schemeClr val="tx1"/>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396-44FE-B2B4-338B8D6A3F23}"/>
                </c:ext>
              </c:extLst>
            </c:dLbl>
            <c:dLbl>
              <c:idx val="6"/>
              <c:layout>
                <c:manualLayout>
                  <c:x val="5.44145129269189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96-44FE-B2B4-338B8D6A3F23}"/>
                </c:ext>
              </c:extLst>
            </c:dLbl>
            <c:dLbl>
              <c:idx val="7"/>
              <c:layout>
                <c:manualLayout>
                  <c:x val="-5.566379070414695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96-44FE-B2B4-338B8D6A3F23}"/>
                </c:ext>
              </c:extLst>
            </c:dLbl>
            <c:dLbl>
              <c:idx val="8"/>
              <c:layout>
                <c:manualLayout>
                  <c:x val="5.5663790704146955E-3"/>
                  <c:y val="3.38123415046491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96-44FE-B2B4-338B8D6A3F23}"/>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1ο 3μ.19</c:v>
                </c:pt>
                <c:pt idx="1">
                  <c:v>2ο 3μ.19</c:v>
                </c:pt>
                <c:pt idx="2">
                  <c:v>3ο 3μ.19</c:v>
                </c:pt>
                <c:pt idx="3">
                  <c:v>4ο 3μ.19</c:v>
                </c:pt>
                <c:pt idx="4">
                  <c:v>1ο 3μ.20</c:v>
                </c:pt>
              </c:strCache>
            </c:strRef>
          </c:cat>
          <c:val>
            <c:numRef>
              <c:f>Sheet1!$B$2:$B$10</c:f>
              <c:numCache>
                <c:formatCode>0</c:formatCode>
                <c:ptCount val="5"/>
                <c:pt idx="0">
                  <c:v>429.37099999999998</c:v>
                </c:pt>
                <c:pt idx="1">
                  <c:v>435.63099999999997</c:v>
                </c:pt>
                <c:pt idx="2">
                  <c:v>434.05399999999997</c:v>
                </c:pt>
                <c:pt idx="3">
                  <c:v>454.00300000000004</c:v>
                </c:pt>
                <c:pt idx="4">
                  <c:v>431.24</c:v>
                </c:pt>
              </c:numCache>
            </c:numRef>
          </c:val>
          <c:extLst>
            <c:ext xmlns:c16="http://schemas.microsoft.com/office/drawing/2014/chart" uri="{C3380CC4-5D6E-409C-BE32-E72D297353CC}">
              <c16:uniqueId val="{0000000B-E396-44FE-B2B4-338B8D6A3F23}"/>
            </c:ext>
          </c:extLst>
        </c:ser>
        <c:dLbls>
          <c:dLblPos val="outEnd"/>
          <c:showLegendKey val="0"/>
          <c:showVal val="1"/>
          <c:showCatName val="0"/>
          <c:showSerName val="0"/>
          <c:showPercent val="0"/>
          <c:showBubbleSize val="0"/>
        </c:dLbls>
        <c:gapWidth val="130"/>
        <c:overlap val="-24"/>
        <c:axId val="855187800"/>
        <c:axId val="855188192"/>
      </c:barChart>
      <c:catAx>
        <c:axId val="855187800"/>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85000"/>
                    <a:lumOff val="15000"/>
                  </a:schemeClr>
                </a:solidFill>
                <a:latin typeface="+mn-lt"/>
                <a:ea typeface="+mn-ea"/>
                <a:cs typeface="+mn-cs"/>
              </a:defRPr>
            </a:pPr>
            <a:endParaRPr lang="en-US"/>
          </a:p>
        </c:txPr>
        <c:crossAx val="855188192"/>
        <c:crosses val="autoZero"/>
        <c:auto val="1"/>
        <c:lblAlgn val="ctr"/>
        <c:lblOffset val="100"/>
        <c:noMultiLvlLbl val="0"/>
      </c:catAx>
      <c:valAx>
        <c:axId val="855188192"/>
        <c:scaling>
          <c:orientation val="minMax"/>
          <c:min val="300"/>
        </c:scaling>
        <c:delete val="1"/>
        <c:axPos val="l"/>
        <c:numFmt formatCode="0" sourceLinked="1"/>
        <c:majorTickMark val="out"/>
        <c:minorTickMark val="none"/>
        <c:tickLblPos val="nextTo"/>
        <c:crossAx val="855187800"/>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02E-2"/>
          <c:y val="0.15636995706662499"/>
          <c:w val="0.86960996154550452"/>
          <c:h val="0.71844953155690106"/>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extLst>
              <c:ext xmlns:c16="http://schemas.microsoft.com/office/drawing/2014/chart" uri="{C3380CC4-5D6E-409C-BE32-E72D297353CC}">
                <c16:uniqueId val="{00000000-20A8-4C30-9BFE-D48CC40A8435}"/>
              </c:ext>
            </c:extLst>
          </c:dPt>
          <c:dPt>
            <c:idx val="3"/>
            <c:invertIfNegative val="0"/>
            <c:bubble3D val="0"/>
            <c:extLst>
              <c:ext xmlns:c16="http://schemas.microsoft.com/office/drawing/2014/chart" uri="{C3380CC4-5D6E-409C-BE32-E72D297353CC}">
                <c16:uniqueId val="{00000001-20A8-4C30-9BFE-D48CC40A8435}"/>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20A8-4C30-9BFE-D48CC40A8435}"/>
              </c:ext>
            </c:extLst>
          </c:dPt>
          <c:dPt>
            <c:idx val="5"/>
            <c:invertIfNegative val="0"/>
            <c:bubble3D val="0"/>
            <c:extLst>
              <c:ext xmlns:c16="http://schemas.microsoft.com/office/drawing/2014/chart" uri="{C3380CC4-5D6E-409C-BE32-E72D297353CC}">
                <c16:uniqueId val="{00000004-20A8-4C30-9BFE-D48CC40A8435}"/>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20A8-4C30-9BFE-D48CC40A8435}"/>
              </c:ext>
            </c:extLst>
          </c:dPt>
          <c:dPt>
            <c:idx val="7"/>
            <c:invertIfNegative val="0"/>
            <c:bubble3D val="0"/>
            <c:extLst>
              <c:ext xmlns:c16="http://schemas.microsoft.com/office/drawing/2014/chart" uri="{C3380CC4-5D6E-409C-BE32-E72D297353CC}">
                <c16:uniqueId val="{00000007-20A8-4C30-9BFE-D48CC40A8435}"/>
              </c:ext>
            </c:extLst>
          </c:dPt>
          <c:dPt>
            <c:idx val="8"/>
            <c:invertIfNegative val="0"/>
            <c:bubble3D val="0"/>
            <c:extLst>
              <c:ext xmlns:c16="http://schemas.microsoft.com/office/drawing/2014/chart" uri="{C3380CC4-5D6E-409C-BE32-E72D297353CC}">
                <c16:uniqueId val="{00000008-20A8-4C30-9BFE-D48CC40A8435}"/>
              </c:ext>
            </c:extLst>
          </c:dPt>
          <c:dLbls>
            <c:dLbl>
              <c:idx val="0"/>
              <c:layout>
                <c:manualLayout>
                  <c:x val="5.5663790704146955E-3"/>
                  <c:y val="2.5359256128486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0A8-4C30-9BFE-D48CC40A8435}"/>
                </c:ext>
              </c:extLst>
            </c:dLbl>
            <c:dLbl>
              <c:idx val="1"/>
              <c:layout>
                <c:manualLayout>
                  <c:x val="-8.5370553780378788E-3"/>
                  <c:y val="2.1132713440405709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20A8-4C30-9BFE-D48CC40A8435}"/>
                </c:ext>
              </c:extLst>
            </c:dLbl>
            <c:dLbl>
              <c:idx val="2"/>
              <c:layout>
                <c:manualLayout>
                  <c:x val="-8.5370553780379568E-3"/>
                  <c:y val="2.535925612848686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20A8-4C30-9BFE-D48CC40A8435}"/>
                </c:ext>
              </c:extLst>
            </c:dLbl>
            <c:dLbl>
              <c:idx val="3"/>
              <c:layout>
                <c:manualLayout>
                  <c:x val="-1.0434332127233232E-16"/>
                  <c:y val="3.3812341504649117E-2"/>
                </c:manualLayout>
              </c:layout>
              <c:tx>
                <c:rich>
                  <a:bodyPr/>
                  <a:lstStyle/>
                  <a:p>
                    <a:fld id="{62419BC0-8783-468B-9029-E1A00A97C425}" type="VALUE">
                      <a:rPr lang="en-US" b="0">
                        <a:solidFill>
                          <a:schemeClr val="tx1"/>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0A8-4C30-9BFE-D48CC40A8435}"/>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n-GB"/>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0A8-4C30-9BFE-D48CC40A8435}"/>
                </c:ext>
              </c:extLst>
            </c:dLbl>
            <c:dLbl>
              <c:idx val="5"/>
              <c:layout>
                <c:manualLayout>
                  <c:x val="5.5663790704146955E-3"/>
                  <c:y val="2.5359256128486898E-2"/>
                </c:manualLayout>
              </c:layout>
              <c:tx>
                <c:rich>
                  <a:bodyPr/>
                  <a:lstStyle/>
                  <a:p>
                    <a:fld id="{AF711C50-0C61-4F2B-B7E2-FEF5E814FA8B}" type="VALUE">
                      <a:rPr lang="en-US">
                        <a:solidFill>
                          <a:schemeClr val="tx1"/>
                        </a:solidFill>
                      </a:rPr>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0A8-4C30-9BFE-D48CC40A8435}"/>
                </c:ext>
              </c:extLst>
            </c:dLbl>
            <c:dLbl>
              <c:idx val="6"/>
              <c:layout>
                <c:manualLayout>
                  <c:x val="5.44145129269189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A8-4C30-9BFE-D48CC40A8435}"/>
                </c:ext>
              </c:extLst>
            </c:dLbl>
            <c:dLbl>
              <c:idx val="7"/>
              <c:layout>
                <c:manualLayout>
                  <c:x val="-5.5663790704146955E-3"/>
                  <c:y val="3.3812341504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A8-4C30-9BFE-D48CC40A8435}"/>
                </c:ext>
              </c:extLst>
            </c:dLbl>
            <c:dLbl>
              <c:idx val="8"/>
              <c:layout>
                <c:manualLayout>
                  <c:x val="5.5663790704146955E-3"/>
                  <c:y val="3.38123415046491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A8-4C30-9BFE-D48CC40A8435}"/>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1ο 3μ.19</c:v>
                </c:pt>
                <c:pt idx="1">
                  <c:v>2ο 3μ.19</c:v>
                </c:pt>
                <c:pt idx="2">
                  <c:v>3ο 3μ.19</c:v>
                </c:pt>
                <c:pt idx="3">
                  <c:v>4ο 3μ.19</c:v>
                </c:pt>
                <c:pt idx="4">
                  <c:v>1ο 3μ.20</c:v>
                </c:pt>
              </c:strCache>
            </c:strRef>
          </c:cat>
          <c:val>
            <c:numRef>
              <c:f>Sheet1!$B$2:$B$10</c:f>
              <c:numCache>
                <c:formatCode>0</c:formatCode>
                <c:ptCount val="5"/>
                <c:pt idx="0">
                  <c:v>230.81800000000001</c:v>
                </c:pt>
                <c:pt idx="1">
                  <c:v>245.13399999999996</c:v>
                </c:pt>
                <c:pt idx="2">
                  <c:v>235.17475555999997</c:v>
                </c:pt>
                <c:pt idx="3">
                  <c:v>257.16030337759997</c:v>
                </c:pt>
                <c:pt idx="4">
                  <c:v>215.09058794955999</c:v>
                </c:pt>
              </c:numCache>
            </c:numRef>
          </c:val>
          <c:extLst>
            <c:ext xmlns:c16="http://schemas.microsoft.com/office/drawing/2014/chart" uri="{C3380CC4-5D6E-409C-BE32-E72D297353CC}">
              <c16:uniqueId val="{0000000B-20A8-4C30-9BFE-D48CC40A8435}"/>
            </c:ext>
          </c:extLst>
        </c:ser>
        <c:dLbls>
          <c:dLblPos val="outEnd"/>
          <c:showLegendKey val="0"/>
          <c:showVal val="1"/>
          <c:showCatName val="0"/>
          <c:showSerName val="0"/>
          <c:showPercent val="0"/>
          <c:showBubbleSize val="0"/>
        </c:dLbls>
        <c:gapWidth val="130"/>
        <c:overlap val="-24"/>
        <c:axId val="855187408"/>
        <c:axId val="855186232"/>
      </c:barChart>
      <c:catAx>
        <c:axId val="855187408"/>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85000"/>
                    <a:lumOff val="15000"/>
                  </a:schemeClr>
                </a:solidFill>
                <a:latin typeface="+mn-lt"/>
                <a:ea typeface="+mn-ea"/>
                <a:cs typeface="+mn-cs"/>
              </a:defRPr>
            </a:pPr>
            <a:endParaRPr lang="en-US"/>
          </a:p>
        </c:txPr>
        <c:crossAx val="855186232"/>
        <c:crosses val="autoZero"/>
        <c:auto val="1"/>
        <c:lblAlgn val="ctr"/>
        <c:lblOffset val="100"/>
        <c:noMultiLvlLbl val="0"/>
      </c:catAx>
      <c:valAx>
        <c:axId val="855186232"/>
        <c:scaling>
          <c:orientation val="minMax"/>
          <c:min val="150"/>
        </c:scaling>
        <c:delete val="1"/>
        <c:axPos val="l"/>
        <c:numFmt formatCode="0" sourceLinked="1"/>
        <c:majorTickMark val="out"/>
        <c:minorTickMark val="none"/>
        <c:tickLblPos val="nextTo"/>
        <c:crossAx val="855187408"/>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Θέμα του Office">
  <a:themeElements>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E579B13FAF247ABC28155753603E4" ma:contentTypeVersion="9" ma:contentTypeDescription="Create a new document." ma:contentTypeScope="" ma:versionID="528e67b42b1d3e74eb9fd0ff09ee86d9">
  <xsd:schema xmlns:xsd="http://www.w3.org/2001/XMLSchema" xmlns:xs="http://www.w3.org/2001/XMLSchema" xmlns:p="http://schemas.microsoft.com/office/2006/metadata/properties" xmlns:ns2="ab64be8f-a0a2-413a-81d2-c9001901314f" targetNamespace="http://schemas.microsoft.com/office/2006/metadata/properties" ma:root="true" ma:fieldsID="14f87bdfe59ed82dd52a036566dad4fe" ns2:_="">
    <xsd:import namespace="ab64be8f-a0a2-413a-81d2-c90019013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4be8f-a0a2-413a-81d2-c9001901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AB0-8DE1-4361-B3D8-091A784C8ECF}">
  <ds:schemaRefs>
    <ds:schemaRef ds:uri="http://schemas.microsoft.com/sharepoint/v3/contenttype/forms"/>
  </ds:schemaRefs>
</ds:datastoreItem>
</file>

<file path=customXml/itemProps2.xml><?xml version="1.0" encoding="utf-8"?>
<ds:datastoreItem xmlns:ds="http://schemas.openxmlformats.org/officeDocument/2006/customXml" ds:itemID="{4B17407F-7CAB-4006-8147-D73B79D8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4be8f-a0a2-413a-81d2-c90019013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8FE3-3DC8-4C91-961F-E6DDA9F001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b64be8f-a0a2-413a-81d2-c9001901314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8B5B73-E0F4-45E2-824B-22021B9A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5420</Words>
  <Characters>30897</Characters>
  <Application>Microsoft Office Word</Application>
  <DocSecurity>0</DocSecurity>
  <Lines>257</Lines>
  <Paragraphs>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Μπερμπάτη Χρυσάνθη</dc:creator>
  <cp:lastModifiedBy>Σαγρής Π. Αντώνης (Corporate Development &amp; IR)</cp:lastModifiedBy>
  <cp:revision>6</cp:revision>
  <cp:lastPrinted>2020-06-01T12:23:00Z</cp:lastPrinted>
  <dcterms:created xsi:type="dcterms:W3CDTF">2020-06-01T13:44:00Z</dcterms:created>
  <dcterms:modified xsi:type="dcterms:W3CDTF">2020-06-01T14:03:00Z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2056465934</vt:i4>
  </property>
  <property fmtid="{D5CDD505-2E9C-101B-9397-08002B2CF9AE}" pid="3" name="ContentTypeId">
    <vt:lpwstr>0x010100403E579B13FAF247ABC28155753603E4</vt:lpwstr>
  </property>
</Properties>
</file>